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072FD" w14:textId="77777777" w:rsidR="004F1EE6" w:rsidRPr="003B547B" w:rsidRDefault="008329D9">
      <w:pPr>
        <w:spacing w:after="0" w:line="259" w:lineRule="auto"/>
        <w:ind w:left="50" w:firstLine="0"/>
        <w:jc w:val="center"/>
        <w:rPr>
          <w:rFonts w:asciiTheme="minorHAnsi" w:hAnsiTheme="minorHAnsi" w:cstheme="minorHAnsi"/>
          <w:color w:val="auto"/>
          <w:szCs w:val="22"/>
        </w:rPr>
      </w:pPr>
      <w:r w:rsidRPr="003B547B">
        <w:rPr>
          <w:rFonts w:asciiTheme="minorHAnsi" w:hAnsiTheme="minorHAnsi" w:cstheme="minorHAnsi"/>
          <w:noProof/>
          <w:color w:val="auto"/>
          <w:szCs w:val="22"/>
        </w:rPr>
        <w:drawing>
          <wp:inline distT="0" distB="0" distL="0" distR="0" wp14:anchorId="62B1BDEB" wp14:editId="57CFBE7B">
            <wp:extent cx="1361567" cy="844550"/>
            <wp:effectExtent l="0" t="0" r="0" b="0"/>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7"/>
                    <a:stretch>
                      <a:fillRect/>
                    </a:stretch>
                  </pic:blipFill>
                  <pic:spPr>
                    <a:xfrm>
                      <a:off x="0" y="0"/>
                      <a:ext cx="1361567" cy="844550"/>
                    </a:xfrm>
                    <a:prstGeom prst="rect">
                      <a:avLst/>
                    </a:prstGeom>
                  </pic:spPr>
                </pic:pic>
              </a:graphicData>
            </a:graphic>
          </wp:inline>
        </w:drawing>
      </w:r>
      <w:r w:rsidRPr="003B547B">
        <w:rPr>
          <w:rFonts w:asciiTheme="minorHAnsi" w:hAnsiTheme="minorHAnsi" w:cstheme="minorHAnsi"/>
          <w:b/>
          <w:color w:val="auto"/>
          <w:szCs w:val="22"/>
        </w:rPr>
        <w:t xml:space="preserve"> </w:t>
      </w:r>
    </w:p>
    <w:p w14:paraId="5AA81DDD" w14:textId="77777777" w:rsidR="004F1EE6" w:rsidRPr="003B547B" w:rsidRDefault="008329D9">
      <w:pPr>
        <w:spacing w:after="0" w:line="259" w:lineRule="auto"/>
        <w:ind w:left="0" w:right="32" w:firstLine="0"/>
        <w:jc w:val="center"/>
        <w:rPr>
          <w:rFonts w:asciiTheme="minorHAnsi" w:hAnsiTheme="minorHAnsi" w:cstheme="minorHAnsi"/>
          <w:color w:val="auto"/>
          <w:szCs w:val="22"/>
        </w:rPr>
      </w:pPr>
      <w:r w:rsidRPr="003B547B">
        <w:rPr>
          <w:rFonts w:asciiTheme="minorHAnsi" w:hAnsiTheme="minorHAnsi" w:cstheme="minorHAnsi"/>
          <w:b/>
          <w:color w:val="auto"/>
          <w:szCs w:val="22"/>
        </w:rPr>
        <w:t xml:space="preserve">JOB DESCRIPTION </w:t>
      </w:r>
    </w:p>
    <w:tbl>
      <w:tblPr>
        <w:tblStyle w:val="TableGrid"/>
        <w:tblW w:w="9799" w:type="dxa"/>
        <w:tblInd w:w="6" w:type="dxa"/>
        <w:tblCellMar>
          <w:top w:w="11" w:type="dxa"/>
          <w:left w:w="106" w:type="dxa"/>
          <w:right w:w="115" w:type="dxa"/>
        </w:tblCellMar>
        <w:tblLook w:val="04A0" w:firstRow="1" w:lastRow="0" w:firstColumn="1" w:lastColumn="0" w:noHBand="0" w:noVBand="1"/>
      </w:tblPr>
      <w:tblGrid>
        <w:gridCol w:w="2786"/>
        <w:gridCol w:w="7013"/>
      </w:tblGrid>
      <w:tr w:rsidR="003B547B" w:rsidRPr="003B547B" w14:paraId="7941B56F" w14:textId="77777777">
        <w:trPr>
          <w:trHeight w:val="259"/>
        </w:trPr>
        <w:tc>
          <w:tcPr>
            <w:tcW w:w="2786" w:type="dxa"/>
            <w:tcBorders>
              <w:top w:val="single" w:sz="4" w:space="0" w:color="000000"/>
              <w:left w:val="single" w:sz="4" w:space="0" w:color="000000"/>
              <w:bottom w:val="single" w:sz="4" w:space="0" w:color="000000"/>
              <w:right w:val="nil"/>
            </w:tcBorders>
            <w:shd w:val="clear" w:color="auto" w:fill="C00000"/>
          </w:tcPr>
          <w:p w14:paraId="7E8E8BD6" w14:textId="77777777" w:rsidR="004F1EE6" w:rsidRPr="003B547B" w:rsidRDefault="008329D9">
            <w:pPr>
              <w:spacing w:after="0" w:line="259" w:lineRule="auto"/>
              <w:ind w:left="1"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IDENTIFICATION </w:t>
            </w:r>
          </w:p>
        </w:tc>
        <w:tc>
          <w:tcPr>
            <w:tcW w:w="7013" w:type="dxa"/>
            <w:tcBorders>
              <w:top w:val="single" w:sz="4" w:space="0" w:color="000000"/>
              <w:left w:val="nil"/>
              <w:bottom w:val="single" w:sz="4" w:space="0" w:color="000000"/>
              <w:right w:val="single" w:sz="4" w:space="0" w:color="000000"/>
            </w:tcBorders>
            <w:shd w:val="clear" w:color="auto" w:fill="C00000"/>
          </w:tcPr>
          <w:p w14:paraId="3D9787CE" w14:textId="77777777" w:rsidR="004F1EE6" w:rsidRPr="003B547B" w:rsidRDefault="004F1EE6">
            <w:pPr>
              <w:spacing w:after="160" w:line="259" w:lineRule="auto"/>
              <w:ind w:left="0" w:firstLine="0"/>
              <w:jc w:val="left"/>
              <w:rPr>
                <w:rFonts w:asciiTheme="minorHAnsi" w:hAnsiTheme="minorHAnsi" w:cstheme="minorHAnsi"/>
                <w:color w:val="auto"/>
                <w:szCs w:val="22"/>
              </w:rPr>
            </w:pPr>
          </w:p>
        </w:tc>
      </w:tr>
      <w:tr w:rsidR="003B547B" w:rsidRPr="00677BB2" w14:paraId="0648AF75" w14:textId="77777777">
        <w:trPr>
          <w:trHeight w:val="265"/>
        </w:trPr>
        <w:tc>
          <w:tcPr>
            <w:tcW w:w="2786" w:type="dxa"/>
            <w:tcBorders>
              <w:top w:val="single" w:sz="4" w:space="0" w:color="000000"/>
              <w:left w:val="single" w:sz="4" w:space="0" w:color="000000"/>
              <w:bottom w:val="single" w:sz="4" w:space="0" w:color="000000"/>
              <w:right w:val="single" w:sz="4" w:space="0" w:color="000000"/>
            </w:tcBorders>
          </w:tcPr>
          <w:p w14:paraId="68DA6E17" w14:textId="77777777" w:rsidR="004F1EE6" w:rsidRPr="003B547B" w:rsidRDefault="008329D9">
            <w:pPr>
              <w:spacing w:after="0" w:line="259" w:lineRule="auto"/>
              <w:ind w:left="1"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JOB TITLE </w:t>
            </w:r>
          </w:p>
        </w:tc>
        <w:tc>
          <w:tcPr>
            <w:tcW w:w="7013" w:type="dxa"/>
            <w:tcBorders>
              <w:top w:val="single" w:sz="4" w:space="0" w:color="000000"/>
              <w:left w:val="single" w:sz="4" w:space="0" w:color="000000"/>
              <w:bottom w:val="single" w:sz="4" w:space="0" w:color="000000"/>
              <w:right w:val="single" w:sz="4" w:space="0" w:color="000000"/>
            </w:tcBorders>
          </w:tcPr>
          <w:p w14:paraId="1EBE517B" w14:textId="5B1C320E" w:rsidR="004F1EE6" w:rsidRPr="003B547B" w:rsidRDefault="008329D9">
            <w:pPr>
              <w:spacing w:after="0" w:line="259" w:lineRule="auto"/>
              <w:ind w:left="0" w:firstLine="0"/>
              <w:jc w:val="left"/>
              <w:rPr>
                <w:rFonts w:asciiTheme="minorHAnsi" w:hAnsiTheme="minorHAnsi" w:cstheme="minorHAnsi"/>
                <w:color w:val="auto"/>
                <w:szCs w:val="22"/>
                <w:lang w:val="en-US"/>
              </w:rPr>
            </w:pPr>
            <w:r w:rsidRPr="003B547B">
              <w:rPr>
                <w:rFonts w:asciiTheme="minorHAnsi" w:hAnsiTheme="minorHAnsi" w:cstheme="minorHAnsi"/>
                <w:b/>
                <w:color w:val="auto"/>
                <w:szCs w:val="22"/>
                <w:lang w:val="en-US"/>
              </w:rPr>
              <w:t>Regional Pro</w:t>
            </w:r>
            <w:r w:rsidR="00BF49FB">
              <w:rPr>
                <w:rFonts w:asciiTheme="minorHAnsi" w:hAnsiTheme="minorHAnsi" w:cstheme="minorHAnsi"/>
                <w:b/>
                <w:color w:val="auto"/>
                <w:szCs w:val="22"/>
                <w:lang w:val="en-US"/>
              </w:rPr>
              <w:t>ject</w:t>
            </w:r>
            <w:r w:rsidRPr="003B547B">
              <w:rPr>
                <w:rFonts w:asciiTheme="minorHAnsi" w:hAnsiTheme="minorHAnsi" w:cstheme="minorHAnsi"/>
                <w:b/>
                <w:color w:val="auto"/>
                <w:szCs w:val="22"/>
                <w:lang w:val="en-US"/>
              </w:rPr>
              <w:t xml:space="preserve"> Officer, Western Africa </w:t>
            </w:r>
          </w:p>
        </w:tc>
      </w:tr>
      <w:tr w:rsidR="003B547B" w:rsidRPr="003B547B" w14:paraId="1DB616CC" w14:textId="77777777">
        <w:trPr>
          <w:trHeight w:val="262"/>
        </w:trPr>
        <w:tc>
          <w:tcPr>
            <w:tcW w:w="2786" w:type="dxa"/>
            <w:tcBorders>
              <w:top w:val="single" w:sz="4" w:space="0" w:color="000000"/>
              <w:left w:val="single" w:sz="4" w:space="0" w:color="000000"/>
              <w:bottom w:val="single" w:sz="4" w:space="0" w:color="000000"/>
              <w:right w:val="single" w:sz="4" w:space="0" w:color="000000"/>
            </w:tcBorders>
          </w:tcPr>
          <w:p w14:paraId="2D7FD1D4" w14:textId="77777777" w:rsidR="004F1EE6" w:rsidRPr="003B547B" w:rsidRDefault="008329D9">
            <w:pPr>
              <w:spacing w:after="0" w:line="259" w:lineRule="auto"/>
              <w:ind w:left="1"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REPORTING TO </w:t>
            </w:r>
          </w:p>
        </w:tc>
        <w:tc>
          <w:tcPr>
            <w:tcW w:w="7013" w:type="dxa"/>
            <w:tcBorders>
              <w:top w:val="single" w:sz="4" w:space="0" w:color="000000"/>
              <w:left w:val="single" w:sz="4" w:space="0" w:color="000000"/>
              <w:bottom w:val="single" w:sz="4" w:space="0" w:color="000000"/>
              <w:right w:val="single" w:sz="4" w:space="0" w:color="000000"/>
            </w:tcBorders>
          </w:tcPr>
          <w:p w14:paraId="1BA17FF2" w14:textId="77777777" w:rsidR="004F1EE6" w:rsidRPr="003B547B" w:rsidRDefault="008329D9">
            <w:pPr>
              <w:spacing w:after="0" w:line="259" w:lineRule="auto"/>
              <w:ind w:left="0" w:firstLine="0"/>
              <w:jc w:val="left"/>
              <w:rPr>
                <w:rFonts w:asciiTheme="minorHAnsi" w:hAnsiTheme="minorHAnsi" w:cstheme="minorHAnsi"/>
                <w:color w:val="auto"/>
                <w:szCs w:val="22"/>
              </w:rPr>
            </w:pPr>
            <w:proofErr w:type="spellStart"/>
            <w:r w:rsidRPr="003B547B">
              <w:rPr>
                <w:rFonts w:asciiTheme="minorHAnsi" w:hAnsiTheme="minorHAnsi" w:cstheme="minorHAnsi"/>
                <w:b/>
                <w:color w:val="auto"/>
                <w:szCs w:val="22"/>
              </w:rPr>
              <w:t>Regional</w:t>
            </w:r>
            <w:proofErr w:type="spellEnd"/>
            <w:r w:rsidRPr="003B547B">
              <w:rPr>
                <w:rFonts w:asciiTheme="minorHAnsi" w:hAnsiTheme="minorHAnsi" w:cstheme="minorHAnsi"/>
                <w:b/>
                <w:color w:val="auto"/>
                <w:szCs w:val="22"/>
              </w:rPr>
              <w:t xml:space="preserve"> Program Manager, SLL </w:t>
            </w:r>
          </w:p>
        </w:tc>
      </w:tr>
      <w:tr w:rsidR="003B547B" w:rsidRPr="00677BB2" w14:paraId="0176D5E6" w14:textId="77777777">
        <w:trPr>
          <w:trHeight w:val="264"/>
        </w:trPr>
        <w:tc>
          <w:tcPr>
            <w:tcW w:w="2786" w:type="dxa"/>
            <w:tcBorders>
              <w:top w:val="single" w:sz="4" w:space="0" w:color="000000"/>
              <w:left w:val="single" w:sz="4" w:space="0" w:color="000000"/>
              <w:bottom w:val="single" w:sz="4" w:space="0" w:color="000000"/>
              <w:right w:val="single" w:sz="4" w:space="0" w:color="000000"/>
            </w:tcBorders>
          </w:tcPr>
          <w:p w14:paraId="6D954635" w14:textId="77777777" w:rsidR="004F1EE6" w:rsidRPr="003B547B" w:rsidRDefault="008329D9">
            <w:pPr>
              <w:spacing w:after="0" w:line="259" w:lineRule="auto"/>
              <w:ind w:left="1"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PROGRAMME </w:t>
            </w:r>
          </w:p>
        </w:tc>
        <w:tc>
          <w:tcPr>
            <w:tcW w:w="7013" w:type="dxa"/>
            <w:tcBorders>
              <w:top w:val="single" w:sz="4" w:space="0" w:color="000000"/>
              <w:left w:val="single" w:sz="4" w:space="0" w:color="000000"/>
              <w:bottom w:val="single" w:sz="4" w:space="0" w:color="000000"/>
              <w:right w:val="single" w:sz="4" w:space="0" w:color="000000"/>
            </w:tcBorders>
          </w:tcPr>
          <w:p w14:paraId="12B33EA4" w14:textId="77777777" w:rsidR="004F1EE6" w:rsidRPr="003B547B" w:rsidRDefault="008329D9">
            <w:pPr>
              <w:spacing w:after="0" w:line="259" w:lineRule="auto"/>
              <w:ind w:left="0" w:firstLine="0"/>
              <w:jc w:val="left"/>
              <w:rPr>
                <w:rFonts w:asciiTheme="minorHAnsi" w:hAnsiTheme="minorHAnsi" w:cstheme="minorHAnsi"/>
                <w:color w:val="auto"/>
                <w:szCs w:val="22"/>
                <w:lang w:val="en-US"/>
              </w:rPr>
            </w:pPr>
            <w:r w:rsidRPr="003B547B">
              <w:rPr>
                <w:rFonts w:asciiTheme="minorHAnsi" w:hAnsiTheme="minorHAnsi" w:cstheme="minorHAnsi"/>
                <w:b/>
                <w:color w:val="auto"/>
                <w:szCs w:val="22"/>
                <w:lang w:val="en-US"/>
              </w:rPr>
              <w:t xml:space="preserve">Saving Lives and Livelihoods Initiative </w:t>
            </w:r>
          </w:p>
        </w:tc>
      </w:tr>
      <w:tr w:rsidR="003B547B" w:rsidRPr="003B547B" w14:paraId="5D693043" w14:textId="77777777">
        <w:trPr>
          <w:trHeight w:val="262"/>
        </w:trPr>
        <w:tc>
          <w:tcPr>
            <w:tcW w:w="2786" w:type="dxa"/>
            <w:tcBorders>
              <w:top w:val="single" w:sz="4" w:space="0" w:color="000000"/>
              <w:left w:val="single" w:sz="4" w:space="0" w:color="000000"/>
              <w:bottom w:val="single" w:sz="4" w:space="0" w:color="000000"/>
              <w:right w:val="single" w:sz="4" w:space="0" w:color="000000"/>
            </w:tcBorders>
          </w:tcPr>
          <w:p w14:paraId="46F8947F" w14:textId="77777777" w:rsidR="004F1EE6" w:rsidRPr="003B547B" w:rsidRDefault="008329D9">
            <w:pPr>
              <w:spacing w:after="0" w:line="259" w:lineRule="auto"/>
              <w:ind w:left="1"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DURATION </w:t>
            </w:r>
          </w:p>
        </w:tc>
        <w:tc>
          <w:tcPr>
            <w:tcW w:w="7013" w:type="dxa"/>
            <w:tcBorders>
              <w:top w:val="single" w:sz="4" w:space="0" w:color="000000"/>
              <w:left w:val="single" w:sz="4" w:space="0" w:color="000000"/>
              <w:bottom w:val="single" w:sz="4" w:space="0" w:color="000000"/>
              <w:right w:val="single" w:sz="4" w:space="0" w:color="000000"/>
            </w:tcBorders>
          </w:tcPr>
          <w:p w14:paraId="4965B1F7"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One </w:t>
            </w:r>
            <w:proofErr w:type="spellStart"/>
            <w:r w:rsidRPr="003B547B">
              <w:rPr>
                <w:rFonts w:asciiTheme="minorHAnsi" w:hAnsiTheme="minorHAnsi" w:cstheme="minorHAnsi"/>
                <w:b/>
                <w:color w:val="auto"/>
                <w:szCs w:val="22"/>
              </w:rPr>
              <w:t>Year</w:t>
            </w:r>
            <w:proofErr w:type="spellEnd"/>
            <w:r w:rsidRPr="003B547B">
              <w:rPr>
                <w:rFonts w:asciiTheme="minorHAnsi" w:hAnsiTheme="minorHAnsi" w:cstheme="minorHAnsi"/>
                <w:b/>
                <w:color w:val="auto"/>
                <w:szCs w:val="22"/>
              </w:rPr>
              <w:t xml:space="preserve"> </w:t>
            </w:r>
          </w:p>
        </w:tc>
      </w:tr>
      <w:tr w:rsidR="003B547B" w:rsidRPr="003B547B" w14:paraId="3B7AEFDD" w14:textId="77777777">
        <w:trPr>
          <w:trHeight w:val="264"/>
        </w:trPr>
        <w:tc>
          <w:tcPr>
            <w:tcW w:w="2786" w:type="dxa"/>
            <w:tcBorders>
              <w:top w:val="single" w:sz="4" w:space="0" w:color="000000"/>
              <w:left w:val="single" w:sz="4" w:space="0" w:color="000000"/>
              <w:bottom w:val="single" w:sz="4" w:space="0" w:color="000000"/>
              <w:right w:val="single" w:sz="4" w:space="0" w:color="000000"/>
            </w:tcBorders>
          </w:tcPr>
          <w:p w14:paraId="276D6AE2" w14:textId="77777777" w:rsidR="004F1EE6" w:rsidRPr="003B547B" w:rsidRDefault="008329D9">
            <w:pPr>
              <w:spacing w:after="0" w:line="259" w:lineRule="auto"/>
              <w:ind w:left="1"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DUTY STATION </w:t>
            </w:r>
          </w:p>
        </w:tc>
        <w:tc>
          <w:tcPr>
            <w:tcW w:w="7013" w:type="dxa"/>
            <w:tcBorders>
              <w:top w:val="single" w:sz="4" w:space="0" w:color="000000"/>
              <w:left w:val="single" w:sz="4" w:space="0" w:color="000000"/>
              <w:bottom w:val="single" w:sz="4" w:space="0" w:color="000000"/>
              <w:right w:val="single" w:sz="4" w:space="0" w:color="000000"/>
            </w:tcBorders>
          </w:tcPr>
          <w:p w14:paraId="2BAA3333"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Dakar, </w:t>
            </w:r>
            <w:proofErr w:type="spellStart"/>
            <w:r w:rsidRPr="003B547B">
              <w:rPr>
                <w:rFonts w:asciiTheme="minorHAnsi" w:hAnsiTheme="minorHAnsi" w:cstheme="minorHAnsi"/>
                <w:b/>
                <w:color w:val="auto"/>
                <w:szCs w:val="22"/>
              </w:rPr>
              <w:t>Senegal</w:t>
            </w:r>
            <w:proofErr w:type="spellEnd"/>
            <w:r w:rsidRPr="003B547B">
              <w:rPr>
                <w:rFonts w:asciiTheme="minorHAnsi" w:hAnsiTheme="minorHAnsi" w:cstheme="minorHAnsi"/>
                <w:b/>
                <w:color w:val="auto"/>
                <w:szCs w:val="22"/>
              </w:rPr>
              <w:t xml:space="preserve"> </w:t>
            </w:r>
          </w:p>
        </w:tc>
      </w:tr>
    </w:tbl>
    <w:p w14:paraId="7650BDEF" w14:textId="77777777" w:rsidR="004F1EE6" w:rsidRPr="003B547B" w:rsidRDefault="008329D9">
      <w:pPr>
        <w:spacing w:after="93"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 </w:t>
      </w:r>
    </w:p>
    <w:p w14:paraId="5C3D49B8" w14:textId="3725A5DF" w:rsidR="00677BB2" w:rsidRDefault="00677BB2" w:rsidP="00677BB2">
      <w:pPr>
        <w:spacing w:line="276" w:lineRule="auto"/>
        <w:ind w:left="0"/>
        <w:rPr>
          <w:rFonts w:asciiTheme="minorHAnsi" w:hAnsiTheme="minorHAnsi" w:cstheme="minorHAnsi"/>
          <w:lang w:val="en-GB"/>
        </w:rPr>
      </w:pPr>
      <w:proofErr w:type="spellStart"/>
      <w:r w:rsidRPr="00677BB2">
        <w:rPr>
          <w:rFonts w:asciiTheme="minorHAnsi" w:hAnsiTheme="minorHAnsi" w:cstheme="minorHAnsi"/>
          <w:lang w:val="en-GB"/>
        </w:rPr>
        <w:t>Amref</w:t>
      </w:r>
      <w:proofErr w:type="spellEnd"/>
      <w:r w:rsidRPr="00677BB2">
        <w:rPr>
          <w:rFonts w:asciiTheme="minorHAnsi" w:hAnsiTheme="minorHAnsi" w:cstheme="minorHAnsi"/>
          <w:lang w:val="en-GB"/>
        </w:rPr>
        <w:t xml:space="preserve"> Health Africa was founded in 1957 and has since grown to become the largest African-based international health development organization; currently implementing more than 180 programmes, reaching more than 40 million people across 35 African countries; and a staff complement of over 2,000. Headquartered in Nairobi, Kenya, </w:t>
      </w:r>
      <w:proofErr w:type="spellStart"/>
      <w:r w:rsidRPr="00677BB2">
        <w:rPr>
          <w:rFonts w:asciiTheme="minorHAnsi" w:hAnsiTheme="minorHAnsi" w:cstheme="minorHAnsi"/>
          <w:lang w:val="en-GB"/>
        </w:rPr>
        <w:t>Amref</w:t>
      </w:r>
      <w:proofErr w:type="spellEnd"/>
      <w:r w:rsidRPr="00677BB2">
        <w:rPr>
          <w:rFonts w:asciiTheme="minorHAnsi" w:hAnsiTheme="minorHAnsi" w:cstheme="minorHAnsi"/>
          <w:lang w:val="en-GB"/>
        </w:rPr>
        <w:t xml:space="preserve"> Health Africa has offices in ten countries in Africa – Burkina Faso, Ethiopia, Guinea (Conakry), Kenya, Malawi, Senegal, South Sudan, Tanzania, Uganda and Zambia. An additional eleven advocacy and fundraising offices are located in Europe and North America. </w:t>
      </w:r>
    </w:p>
    <w:p w14:paraId="3A59395F" w14:textId="77777777" w:rsidR="00EC0645" w:rsidRDefault="00EC0645" w:rsidP="00677BB2">
      <w:pPr>
        <w:spacing w:line="276" w:lineRule="auto"/>
        <w:ind w:left="0"/>
        <w:rPr>
          <w:rFonts w:asciiTheme="minorHAnsi" w:hAnsiTheme="minorHAnsi" w:cstheme="minorHAnsi"/>
          <w:lang w:val="en-GB"/>
        </w:rPr>
      </w:pPr>
      <w:bookmarkStart w:id="0" w:name="_GoBack"/>
      <w:bookmarkEnd w:id="0"/>
    </w:p>
    <w:p w14:paraId="1B23B546" w14:textId="246F65F2" w:rsidR="00677BB2" w:rsidRPr="00677BB2" w:rsidRDefault="00677BB2" w:rsidP="00677BB2">
      <w:pPr>
        <w:spacing w:line="276" w:lineRule="auto"/>
        <w:ind w:left="0" w:firstLine="0"/>
        <w:rPr>
          <w:rFonts w:asciiTheme="minorHAnsi" w:hAnsiTheme="minorHAnsi" w:cstheme="minorHAnsi"/>
          <w:lang w:val="en-GB"/>
        </w:rPr>
      </w:pPr>
      <w:proofErr w:type="spellStart"/>
      <w:r w:rsidRPr="00677BB2">
        <w:rPr>
          <w:rFonts w:asciiTheme="minorHAnsi" w:hAnsiTheme="minorHAnsi" w:cstheme="minorHAnsi"/>
          <w:lang w:val="en-GB"/>
        </w:rPr>
        <w:t>Amref</w:t>
      </w:r>
      <w:proofErr w:type="spellEnd"/>
      <w:r w:rsidRPr="00677BB2">
        <w:rPr>
          <w:rFonts w:asciiTheme="minorHAnsi" w:hAnsiTheme="minorHAnsi" w:cstheme="minorHAnsi"/>
          <w:lang w:val="en-GB"/>
        </w:rPr>
        <w:t xml:space="preserve"> Health Africa is driven by its vision of </w:t>
      </w:r>
      <w:r w:rsidRPr="00677BB2">
        <w:rPr>
          <w:rFonts w:asciiTheme="minorHAnsi" w:hAnsiTheme="minorHAnsi" w:cstheme="minorHAnsi"/>
          <w:b/>
          <w:bCs/>
          <w:lang w:val="en-GB"/>
        </w:rPr>
        <w:t>‘</w:t>
      </w:r>
      <w:r w:rsidRPr="00677BB2">
        <w:rPr>
          <w:rFonts w:asciiTheme="minorHAnsi" w:hAnsiTheme="minorHAnsi" w:cstheme="minorHAnsi"/>
          <w:b/>
          <w:bCs/>
          <w:i/>
          <w:iCs/>
          <w:lang w:val="en-GB"/>
        </w:rPr>
        <w:t>Lasting health change in Africa’</w:t>
      </w:r>
      <w:r w:rsidRPr="00677BB2">
        <w:rPr>
          <w:rFonts w:asciiTheme="minorHAnsi" w:hAnsiTheme="minorHAnsi" w:cstheme="minorHAnsi"/>
          <w:lang w:val="en-GB"/>
        </w:rPr>
        <w:t xml:space="preserve"> and its mission </w:t>
      </w:r>
      <w:r w:rsidRPr="00677BB2">
        <w:rPr>
          <w:rFonts w:asciiTheme="minorHAnsi" w:hAnsiTheme="minorHAnsi" w:cstheme="minorHAnsi"/>
          <w:b/>
          <w:bCs/>
          <w:lang w:val="en-GB"/>
        </w:rPr>
        <w:t>‘</w:t>
      </w:r>
      <w:r w:rsidRPr="00677BB2">
        <w:rPr>
          <w:rFonts w:asciiTheme="minorHAnsi" w:hAnsiTheme="minorHAnsi" w:cstheme="minorHAnsi"/>
          <w:b/>
          <w:bCs/>
          <w:i/>
          <w:iCs/>
          <w:lang w:val="en-GB"/>
        </w:rPr>
        <w:t>To catalyse and drive community-led and people-centred health systems while addressing social determinants of health’</w:t>
      </w:r>
      <w:r w:rsidRPr="00677BB2">
        <w:rPr>
          <w:rFonts w:asciiTheme="minorHAnsi" w:hAnsiTheme="minorHAnsi" w:cstheme="minorHAnsi"/>
          <w:i/>
          <w:iCs/>
          <w:lang w:val="en-GB"/>
        </w:rPr>
        <w:t>.</w:t>
      </w:r>
      <w:r w:rsidRPr="00677BB2">
        <w:rPr>
          <w:rFonts w:asciiTheme="minorHAnsi" w:hAnsiTheme="minorHAnsi" w:cstheme="minorHAnsi"/>
          <w:lang w:val="en-GB"/>
        </w:rPr>
        <w:t xml:space="preserve"> We believe that the power to transform Africa's health lies within its communities, and therefore strive to ensure that health systems are not only functional but that communities are empowered to hold these systems accountable for the delivery of quality and affordable health care.</w:t>
      </w:r>
    </w:p>
    <w:p w14:paraId="60A6C0E4" w14:textId="77777777" w:rsidR="00677BB2" w:rsidRPr="00677BB2" w:rsidRDefault="00677BB2" w:rsidP="00677BB2">
      <w:pPr>
        <w:spacing w:line="276" w:lineRule="auto"/>
        <w:ind w:left="0"/>
        <w:rPr>
          <w:lang w:val="en-GB"/>
        </w:rPr>
      </w:pPr>
    </w:p>
    <w:p w14:paraId="3DB1DC64" w14:textId="77777777" w:rsidR="00542601" w:rsidRPr="003B547B" w:rsidRDefault="00542601" w:rsidP="00542601">
      <w:pPr>
        <w:pStyle w:val="ListParagraph"/>
        <w:numPr>
          <w:ilvl w:val="0"/>
          <w:numId w:val="8"/>
        </w:numPr>
        <w:spacing w:before="120" w:after="120" w:line="240" w:lineRule="auto"/>
        <w:jc w:val="both"/>
        <w:rPr>
          <w:rFonts w:eastAsia="Garamond" w:cstheme="minorHAnsi"/>
          <w:b/>
        </w:rPr>
      </w:pPr>
      <w:r w:rsidRPr="003B547B">
        <w:rPr>
          <w:rFonts w:eastAsia="Garamond" w:cstheme="minorHAnsi"/>
          <w:b/>
        </w:rPr>
        <w:t xml:space="preserve">About the Saving Lives and Livelihoods </w:t>
      </w:r>
      <w:proofErr w:type="spellStart"/>
      <w:r w:rsidRPr="003B547B">
        <w:rPr>
          <w:rFonts w:eastAsia="Garamond" w:cstheme="minorHAnsi"/>
          <w:b/>
        </w:rPr>
        <w:t>Programme</w:t>
      </w:r>
      <w:proofErr w:type="spellEnd"/>
    </w:p>
    <w:p w14:paraId="6B60CF47" w14:textId="77777777" w:rsidR="003B547B" w:rsidRDefault="003B547B" w:rsidP="003B547B">
      <w:pPr>
        <w:spacing w:before="120" w:after="120" w:line="276" w:lineRule="auto"/>
        <w:ind w:left="0" w:firstLine="0"/>
        <w:rPr>
          <w:rFonts w:asciiTheme="minorHAnsi" w:eastAsia="Garamond" w:hAnsiTheme="minorHAnsi" w:cstheme="minorHAnsi"/>
          <w:b/>
          <w:color w:val="auto"/>
          <w:kern w:val="0"/>
          <w:szCs w:val="22"/>
          <w:u w:val="single"/>
          <w:lang w:val="en-US" w:eastAsia="en-US" w:bidi="ar-SA"/>
          <w14:ligatures w14:val="none"/>
        </w:rPr>
      </w:pPr>
    </w:p>
    <w:p w14:paraId="7BFCC6A8" w14:textId="77777777" w:rsidR="00542601" w:rsidRPr="003B547B" w:rsidRDefault="00542601" w:rsidP="003B547B">
      <w:pPr>
        <w:spacing w:before="120" w:after="120" w:line="276" w:lineRule="auto"/>
        <w:ind w:left="0" w:firstLine="0"/>
        <w:rPr>
          <w:rFonts w:asciiTheme="minorHAnsi" w:eastAsia="Garamond" w:hAnsiTheme="minorHAnsi" w:cstheme="minorHAnsi"/>
          <w:color w:val="auto"/>
          <w:szCs w:val="22"/>
          <w:lang w:val="en-US"/>
        </w:rPr>
      </w:pPr>
      <w:r w:rsidRPr="003B547B">
        <w:rPr>
          <w:rFonts w:asciiTheme="minorHAnsi" w:hAnsiTheme="minorHAnsi" w:cstheme="minorHAnsi"/>
          <w:bCs/>
          <w:color w:val="auto"/>
          <w:szCs w:val="22"/>
          <w:lang w:val="en-US"/>
        </w:rPr>
        <w:t>Global Health Security (GHS) seeks to build strong and resilient public health systems to prevent, detect, and respond to infectious disease threats, wherever they occur.</w:t>
      </w:r>
      <w:r w:rsidRPr="003B547B">
        <w:rPr>
          <w:rFonts w:asciiTheme="minorHAnsi" w:eastAsia="Garamond" w:hAnsiTheme="minorHAnsi" w:cstheme="minorHAnsi"/>
          <w:color w:val="auto"/>
          <w:szCs w:val="22"/>
          <w:lang w:val="en-US"/>
        </w:rPr>
        <w:t xml:space="preserve"> The </w:t>
      </w:r>
      <w:proofErr w:type="spellStart"/>
      <w:r w:rsidRPr="003B547B">
        <w:rPr>
          <w:rFonts w:asciiTheme="minorHAnsi" w:eastAsia="Garamond" w:hAnsiTheme="minorHAnsi" w:cstheme="minorHAnsi"/>
          <w:color w:val="auto"/>
          <w:szCs w:val="22"/>
          <w:lang w:val="en-US"/>
        </w:rPr>
        <w:t>Amref</w:t>
      </w:r>
      <w:proofErr w:type="spellEnd"/>
      <w:r w:rsidRPr="003B547B">
        <w:rPr>
          <w:rFonts w:asciiTheme="minorHAnsi" w:eastAsia="Garamond" w:hAnsiTheme="minorHAnsi" w:cstheme="minorHAnsi"/>
          <w:color w:val="auto"/>
          <w:szCs w:val="22"/>
          <w:lang w:val="en-US"/>
        </w:rPr>
        <w:t xml:space="preserve"> GHS Unit in collaboration with </w:t>
      </w:r>
      <w:proofErr w:type="spellStart"/>
      <w:r w:rsidRPr="003B547B">
        <w:rPr>
          <w:rFonts w:asciiTheme="minorHAnsi" w:eastAsia="Garamond" w:hAnsiTheme="minorHAnsi" w:cstheme="minorHAnsi"/>
          <w:color w:val="auto"/>
          <w:szCs w:val="22"/>
          <w:lang w:val="en-US"/>
        </w:rPr>
        <w:t>Amref</w:t>
      </w:r>
      <w:proofErr w:type="spellEnd"/>
      <w:r w:rsidRPr="003B547B">
        <w:rPr>
          <w:rFonts w:asciiTheme="minorHAnsi" w:eastAsia="Garamond" w:hAnsiTheme="minorHAnsi" w:cstheme="minorHAnsi"/>
          <w:color w:val="auto"/>
          <w:szCs w:val="22"/>
          <w:lang w:val="en-US"/>
        </w:rPr>
        <w:t xml:space="preserve"> West Africa Office coordinated and strengthens capacity of health systems to reduce vulnerabilities to emerging and re-emerging disease threats for communities in sub-Saharan Africa. To address the increased threat to disease outbreaks, the </w:t>
      </w:r>
      <w:proofErr w:type="spellStart"/>
      <w:r w:rsidRPr="003B547B">
        <w:rPr>
          <w:rFonts w:asciiTheme="minorHAnsi" w:eastAsia="Garamond" w:hAnsiTheme="minorHAnsi" w:cstheme="minorHAnsi"/>
          <w:color w:val="auto"/>
          <w:szCs w:val="22"/>
          <w:lang w:val="en-US"/>
        </w:rPr>
        <w:t>programme</w:t>
      </w:r>
      <w:proofErr w:type="spellEnd"/>
      <w:r w:rsidRPr="003B547B">
        <w:rPr>
          <w:rFonts w:asciiTheme="minorHAnsi" w:eastAsia="Garamond" w:hAnsiTheme="minorHAnsi" w:cstheme="minorHAnsi"/>
          <w:color w:val="auto"/>
          <w:szCs w:val="22"/>
          <w:lang w:val="en-US"/>
        </w:rPr>
        <w:t xml:space="preserve"> is complementing the efforts of regional partners such as the Africa CDC, national players through the Ministries of Health and other strategic partners to protect lives and livelihoods of people in sub-Saharan Africa. </w:t>
      </w:r>
    </w:p>
    <w:p w14:paraId="2B5E2294" w14:textId="77777777" w:rsidR="00542601" w:rsidRPr="003B547B" w:rsidRDefault="00542601" w:rsidP="00542601">
      <w:pPr>
        <w:pStyle w:val="NoSpacing"/>
        <w:spacing w:line="276" w:lineRule="auto"/>
        <w:jc w:val="both"/>
        <w:rPr>
          <w:rFonts w:cstheme="minorHAnsi"/>
          <w:lang w:val="en-US"/>
        </w:rPr>
      </w:pPr>
      <w:r w:rsidRPr="003B547B">
        <w:rPr>
          <w:rFonts w:eastAsia="Garamond" w:cstheme="minorHAnsi"/>
        </w:rPr>
        <w:t xml:space="preserve">The Saving Lives and Livelihoods project is a joint programme between Africa CDC and the Master Card Foundation </w:t>
      </w:r>
      <w:r w:rsidRPr="003B547B">
        <w:rPr>
          <w:rFonts w:cstheme="minorHAnsi"/>
        </w:rPr>
        <w:t xml:space="preserve">launched in June 2021 to save the lives and livelihoods of millions of people in Africa and hasten the economic recovery of the continent from COVID-19 pandemic. The USD 1.5 billion unprecedented partnership supported the COVID-19 vaccination of more than half of Africa’s target population, trained, equipped, and deployed 40,000 healthcare workers, created 25,000 additional jobs in the health sector, and expanded Africa's genomic testing laboratories from 2 to 40. Mastercard Foundation and Africa CDC reviewed the program’s impact as a primary emergency response initiative and made a strategic shift on the Saving Lives and Livelihoods Program. Phase II will be a continuation of the commitments made under phase I. The next phase will primarily focus on pandemic preparedness and readiness through basic health and security, which </w:t>
      </w:r>
      <w:r w:rsidRPr="003B547B">
        <w:rPr>
          <w:rFonts w:cstheme="minorHAnsi"/>
        </w:rPr>
        <w:lastRenderedPageBreak/>
        <w:t xml:space="preserve">enables broader community education. Additionally, the program is aimed at economic development, which includes activities related to education, capacitation, and/or financial inclusion of the health workforce, among others. This second </w:t>
      </w:r>
      <w:r w:rsidRPr="003B547B">
        <w:rPr>
          <w:rFonts w:cstheme="minorHAnsi"/>
          <w:lang w:val="en-US"/>
        </w:rPr>
        <w:t xml:space="preserve">Phase of the Saving Lives and Livelihoods </w:t>
      </w:r>
      <w:proofErr w:type="spellStart"/>
      <w:r w:rsidRPr="003B547B">
        <w:rPr>
          <w:rFonts w:cstheme="minorHAnsi"/>
          <w:lang w:val="en-US"/>
        </w:rPr>
        <w:t>Programme</w:t>
      </w:r>
      <w:proofErr w:type="spellEnd"/>
      <w:r w:rsidRPr="003B547B">
        <w:rPr>
          <w:rFonts w:cstheme="minorHAnsi"/>
          <w:lang w:val="en-US"/>
        </w:rPr>
        <w:t xml:space="preserve"> will primarily focus on strengthening Africa's ability to respond to future pandemics through programmatic activities designed to build and protect the health workforce,</w:t>
      </w:r>
      <w:r w:rsidRPr="003B547B">
        <w:rPr>
          <w:rFonts w:cstheme="minorHAnsi"/>
        </w:rPr>
        <w:t xml:space="preserve"> </w:t>
      </w:r>
      <w:r w:rsidRPr="003B547B">
        <w:rPr>
          <w:rFonts w:cstheme="minorHAnsi"/>
          <w:lang w:val="en-US"/>
        </w:rPr>
        <w:t>as well as improving the lives and livelihoods of Africans.</w:t>
      </w:r>
    </w:p>
    <w:p w14:paraId="556151DE" w14:textId="77777777" w:rsidR="00542601" w:rsidRPr="003B547B" w:rsidRDefault="00542601" w:rsidP="00542601">
      <w:pPr>
        <w:spacing w:before="120" w:after="120" w:line="276" w:lineRule="auto"/>
        <w:rPr>
          <w:rFonts w:asciiTheme="minorHAnsi" w:eastAsia="Garamond" w:hAnsiTheme="minorHAnsi" w:cstheme="minorHAnsi"/>
          <w:color w:val="auto"/>
          <w:szCs w:val="22"/>
          <w:lang w:val="en-US"/>
        </w:rPr>
      </w:pPr>
      <w:proofErr w:type="spellStart"/>
      <w:r w:rsidRPr="003B547B">
        <w:rPr>
          <w:rFonts w:asciiTheme="minorHAnsi" w:eastAsia="Garamond" w:hAnsiTheme="minorHAnsi" w:cstheme="minorHAnsi"/>
          <w:color w:val="auto"/>
          <w:szCs w:val="22"/>
          <w:lang w:val="en-US"/>
        </w:rPr>
        <w:t>Amref</w:t>
      </w:r>
      <w:proofErr w:type="spellEnd"/>
      <w:r w:rsidRPr="003B547B">
        <w:rPr>
          <w:rFonts w:asciiTheme="minorHAnsi" w:eastAsia="Garamond" w:hAnsiTheme="minorHAnsi" w:cstheme="minorHAnsi"/>
          <w:color w:val="auto"/>
          <w:szCs w:val="22"/>
          <w:lang w:val="en-US"/>
        </w:rPr>
        <w:t xml:space="preserve"> Health Africa is amongst the key partners supporting COVID-19 vaccination in 22 countries in Eastern, Southern and western Africa. Under this </w:t>
      </w:r>
      <w:proofErr w:type="spellStart"/>
      <w:r w:rsidRPr="003B547B">
        <w:rPr>
          <w:rFonts w:asciiTheme="minorHAnsi" w:eastAsia="Garamond" w:hAnsiTheme="minorHAnsi" w:cstheme="minorHAnsi"/>
          <w:color w:val="auto"/>
          <w:szCs w:val="22"/>
          <w:lang w:val="en-US"/>
        </w:rPr>
        <w:t>programme</w:t>
      </w:r>
      <w:proofErr w:type="spellEnd"/>
      <w:r w:rsidRPr="003B547B">
        <w:rPr>
          <w:rFonts w:asciiTheme="minorHAnsi" w:eastAsia="Garamond" w:hAnsiTheme="minorHAnsi" w:cstheme="minorHAnsi"/>
          <w:color w:val="auto"/>
          <w:szCs w:val="22"/>
          <w:lang w:val="en-US"/>
        </w:rPr>
        <w:t xml:space="preserve">, </w:t>
      </w:r>
      <w:proofErr w:type="spellStart"/>
      <w:r w:rsidRPr="003B547B">
        <w:rPr>
          <w:rFonts w:asciiTheme="minorHAnsi" w:eastAsia="Garamond" w:hAnsiTheme="minorHAnsi" w:cstheme="minorHAnsi"/>
          <w:color w:val="auto"/>
          <w:szCs w:val="22"/>
          <w:lang w:val="en-US"/>
        </w:rPr>
        <w:t>Amref</w:t>
      </w:r>
      <w:proofErr w:type="spellEnd"/>
      <w:r w:rsidRPr="003B547B">
        <w:rPr>
          <w:rFonts w:asciiTheme="minorHAnsi" w:eastAsia="Garamond" w:hAnsiTheme="minorHAnsi" w:cstheme="minorHAnsi"/>
          <w:color w:val="auto"/>
          <w:szCs w:val="22"/>
          <w:lang w:val="en-US"/>
        </w:rPr>
        <w:t xml:space="preserve"> along with other local implementing partners will be focusing on protecting Health Care Workers and Pandemic Preparedness while supporting </w:t>
      </w:r>
      <w:proofErr w:type="spellStart"/>
      <w:r w:rsidRPr="003B547B">
        <w:rPr>
          <w:rFonts w:asciiTheme="minorHAnsi" w:eastAsia="Garamond" w:hAnsiTheme="minorHAnsi" w:cstheme="minorHAnsi"/>
          <w:color w:val="auto"/>
          <w:szCs w:val="22"/>
          <w:lang w:val="en-US"/>
        </w:rPr>
        <w:t>i</w:t>
      </w:r>
      <w:r w:rsidRPr="003B547B">
        <w:rPr>
          <w:rFonts w:asciiTheme="minorHAnsi" w:eastAsia="Garamond" w:hAnsiTheme="minorHAnsi" w:cstheme="minorHAnsi"/>
          <w:color w:val="auto"/>
          <w:szCs w:val="22"/>
          <w:lang w:val="en-CA"/>
        </w:rPr>
        <w:t>ntegration</w:t>
      </w:r>
      <w:proofErr w:type="spellEnd"/>
      <w:r w:rsidRPr="003B547B">
        <w:rPr>
          <w:rFonts w:asciiTheme="minorHAnsi" w:eastAsia="Garamond" w:hAnsiTheme="minorHAnsi" w:cstheme="minorHAnsi"/>
          <w:color w:val="auto"/>
          <w:szCs w:val="22"/>
          <w:lang w:val="en-CA"/>
        </w:rPr>
        <w:t xml:space="preserve"> of COVID-19 Management into Routine Immunization</w:t>
      </w:r>
      <w:r w:rsidRPr="003B547B">
        <w:rPr>
          <w:rFonts w:asciiTheme="minorHAnsi" w:eastAsia="Garamond" w:hAnsiTheme="minorHAnsi" w:cstheme="minorHAnsi"/>
          <w:color w:val="auto"/>
          <w:szCs w:val="22"/>
          <w:lang w:val="en-US"/>
        </w:rPr>
        <w:t>.</w:t>
      </w:r>
    </w:p>
    <w:p w14:paraId="118EA424" w14:textId="77777777" w:rsidR="004F1EE6" w:rsidRPr="003B547B" w:rsidRDefault="008329D9">
      <w:pPr>
        <w:spacing w:after="106" w:line="259" w:lineRule="auto"/>
        <w:ind w:left="0" w:firstLine="0"/>
        <w:jc w:val="left"/>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 </w:t>
      </w:r>
    </w:p>
    <w:p w14:paraId="283BC189" w14:textId="77777777" w:rsidR="004F1EE6" w:rsidRPr="003B547B" w:rsidRDefault="008329D9">
      <w:pPr>
        <w:pStyle w:val="Heading1"/>
        <w:ind w:left="345" w:hanging="360"/>
        <w:rPr>
          <w:rFonts w:asciiTheme="minorHAnsi" w:hAnsiTheme="minorHAnsi" w:cstheme="minorHAnsi"/>
          <w:color w:val="auto"/>
          <w:szCs w:val="22"/>
        </w:rPr>
      </w:pPr>
      <w:r w:rsidRPr="003B547B">
        <w:rPr>
          <w:rFonts w:asciiTheme="minorHAnsi" w:hAnsiTheme="minorHAnsi" w:cstheme="minorHAnsi"/>
          <w:color w:val="auto"/>
          <w:szCs w:val="22"/>
        </w:rPr>
        <w:t>JOB SUMMARY</w:t>
      </w:r>
      <w:r w:rsidRPr="003B547B">
        <w:rPr>
          <w:rFonts w:asciiTheme="minorHAnsi" w:hAnsiTheme="minorHAnsi" w:cstheme="minorHAnsi"/>
          <w:color w:val="auto"/>
          <w:szCs w:val="22"/>
          <w:u w:val="none"/>
        </w:rPr>
        <w:t xml:space="preserve"> </w:t>
      </w:r>
    </w:p>
    <w:p w14:paraId="177C710D" w14:textId="77777777" w:rsidR="004F1EE6" w:rsidRPr="003B547B" w:rsidRDefault="008329D9">
      <w:pPr>
        <w:ind w:left="-5"/>
        <w:rPr>
          <w:rFonts w:asciiTheme="minorHAnsi" w:hAnsiTheme="minorHAnsi" w:cstheme="minorHAnsi"/>
          <w:color w:val="auto"/>
          <w:szCs w:val="22"/>
        </w:rPr>
      </w:pPr>
      <w:r w:rsidRPr="003B547B">
        <w:rPr>
          <w:rFonts w:asciiTheme="minorHAnsi" w:hAnsiTheme="minorHAnsi" w:cstheme="minorHAnsi"/>
          <w:color w:val="auto"/>
          <w:szCs w:val="22"/>
          <w:lang w:val="en-US"/>
        </w:rPr>
        <w:t xml:space="preserve">The Regional Project Officer will provide planning, coordination and technical support to countries implementing SLL in the Western Africa hub for quality execution of project activities as per Ministry of Health COVID-19 vaccination priorities and monitor the achievement of project deliverables as per the overall Project's objectives. </w:t>
      </w:r>
      <w:r w:rsidRPr="003B547B">
        <w:rPr>
          <w:rFonts w:asciiTheme="minorHAnsi" w:hAnsiTheme="minorHAnsi" w:cstheme="minorHAnsi"/>
          <w:color w:val="auto"/>
          <w:szCs w:val="22"/>
        </w:rPr>
        <w:t xml:space="preserve">The </w:t>
      </w:r>
      <w:proofErr w:type="spellStart"/>
      <w:r w:rsidRPr="003B547B">
        <w:rPr>
          <w:rFonts w:asciiTheme="minorHAnsi" w:hAnsiTheme="minorHAnsi" w:cstheme="minorHAnsi"/>
          <w:color w:val="auto"/>
          <w:szCs w:val="22"/>
        </w:rPr>
        <w:t>role</w:t>
      </w:r>
      <w:proofErr w:type="spellEnd"/>
      <w:r w:rsidRPr="003B547B">
        <w:rPr>
          <w:rFonts w:asciiTheme="minorHAnsi" w:hAnsiTheme="minorHAnsi" w:cstheme="minorHAnsi"/>
          <w:color w:val="auto"/>
          <w:szCs w:val="22"/>
        </w:rPr>
        <w:t xml:space="preserve"> </w:t>
      </w:r>
      <w:proofErr w:type="spellStart"/>
      <w:r w:rsidRPr="003B547B">
        <w:rPr>
          <w:rFonts w:asciiTheme="minorHAnsi" w:hAnsiTheme="minorHAnsi" w:cstheme="minorHAnsi"/>
          <w:color w:val="auto"/>
          <w:szCs w:val="22"/>
        </w:rPr>
        <w:t>will</w:t>
      </w:r>
      <w:proofErr w:type="spellEnd"/>
      <w:r w:rsidRPr="003B547B">
        <w:rPr>
          <w:rFonts w:asciiTheme="minorHAnsi" w:hAnsiTheme="minorHAnsi" w:cstheme="minorHAnsi"/>
          <w:color w:val="auto"/>
          <w:szCs w:val="22"/>
        </w:rPr>
        <w:t xml:space="preserve"> </w:t>
      </w:r>
      <w:proofErr w:type="spellStart"/>
      <w:r w:rsidRPr="003B547B">
        <w:rPr>
          <w:rFonts w:asciiTheme="minorHAnsi" w:hAnsiTheme="minorHAnsi" w:cstheme="minorHAnsi"/>
          <w:color w:val="auto"/>
          <w:szCs w:val="22"/>
        </w:rPr>
        <w:t>be</w:t>
      </w:r>
      <w:proofErr w:type="spellEnd"/>
      <w:r w:rsidRPr="003B547B">
        <w:rPr>
          <w:rFonts w:asciiTheme="minorHAnsi" w:hAnsiTheme="minorHAnsi" w:cstheme="minorHAnsi"/>
          <w:color w:val="auto"/>
          <w:szCs w:val="22"/>
        </w:rPr>
        <w:t xml:space="preserve"> </w:t>
      </w:r>
      <w:proofErr w:type="spellStart"/>
      <w:r w:rsidRPr="003B547B">
        <w:rPr>
          <w:rFonts w:asciiTheme="minorHAnsi" w:hAnsiTheme="minorHAnsi" w:cstheme="minorHAnsi"/>
          <w:color w:val="auto"/>
          <w:szCs w:val="22"/>
        </w:rPr>
        <w:t>based</w:t>
      </w:r>
      <w:proofErr w:type="spellEnd"/>
      <w:r w:rsidRPr="003B547B">
        <w:rPr>
          <w:rFonts w:asciiTheme="minorHAnsi" w:hAnsiTheme="minorHAnsi" w:cstheme="minorHAnsi"/>
          <w:color w:val="auto"/>
          <w:szCs w:val="22"/>
        </w:rPr>
        <w:t xml:space="preserve"> in West </w:t>
      </w:r>
      <w:proofErr w:type="spellStart"/>
      <w:r w:rsidR="003B547B">
        <w:rPr>
          <w:rFonts w:asciiTheme="minorHAnsi" w:hAnsiTheme="minorHAnsi" w:cstheme="minorHAnsi"/>
          <w:color w:val="auto"/>
          <w:szCs w:val="22"/>
        </w:rPr>
        <w:t>Afric</w:t>
      </w:r>
      <w:r w:rsidRPr="003B547B">
        <w:rPr>
          <w:rFonts w:asciiTheme="minorHAnsi" w:hAnsiTheme="minorHAnsi" w:cstheme="minorHAnsi"/>
          <w:color w:val="auto"/>
          <w:szCs w:val="22"/>
        </w:rPr>
        <w:t>a</w:t>
      </w:r>
      <w:proofErr w:type="spellEnd"/>
      <w:r w:rsidRPr="003B547B">
        <w:rPr>
          <w:rFonts w:asciiTheme="minorHAnsi" w:hAnsiTheme="minorHAnsi" w:cstheme="minorHAnsi"/>
          <w:color w:val="auto"/>
          <w:szCs w:val="22"/>
        </w:rPr>
        <w:t xml:space="preserve">. </w:t>
      </w:r>
    </w:p>
    <w:p w14:paraId="1C09AFC1"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color w:val="auto"/>
          <w:szCs w:val="22"/>
        </w:rPr>
        <w:t xml:space="preserve"> </w:t>
      </w:r>
    </w:p>
    <w:p w14:paraId="3AA84326" w14:textId="77777777" w:rsidR="004F1EE6" w:rsidRPr="003B547B" w:rsidRDefault="008329D9">
      <w:pPr>
        <w:pStyle w:val="Heading1"/>
        <w:spacing w:after="134"/>
        <w:ind w:left="345" w:hanging="360"/>
        <w:rPr>
          <w:rFonts w:asciiTheme="minorHAnsi" w:hAnsiTheme="minorHAnsi" w:cstheme="minorHAnsi"/>
          <w:color w:val="auto"/>
          <w:szCs w:val="22"/>
        </w:rPr>
      </w:pPr>
      <w:r w:rsidRPr="003B547B">
        <w:rPr>
          <w:rFonts w:asciiTheme="minorHAnsi" w:hAnsiTheme="minorHAnsi" w:cstheme="minorHAnsi"/>
          <w:color w:val="auto"/>
          <w:szCs w:val="22"/>
        </w:rPr>
        <w:t>PRIMARY DUTIES &amp; RESPONSIBILITIES</w:t>
      </w:r>
      <w:r w:rsidRPr="003B547B">
        <w:rPr>
          <w:rFonts w:asciiTheme="minorHAnsi" w:hAnsiTheme="minorHAnsi" w:cstheme="minorHAnsi"/>
          <w:color w:val="auto"/>
          <w:szCs w:val="22"/>
          <w:u w:val="none"/>
        </w:rPr>
        <w:t xml:space="preserve"> </w:t>
      </w:r>
    </w:p>
    <w:p w14:paraId="6424DFF2"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 </w:t>
      </w:r>
    </w:p>
    <w:tbl>
      <w:tblPr>
        <w:tblStyle w:val="TableGrid"/>
        <w:tblW w:w="9805" w:type="dxa"/>
        <w:tblInd w:w="6" w:type="dxa"/>
        <w:tblCellMar>
          <w:top w:w="11" w:type="dxa"/>
          <w:left w:w="107" w:type="dxa"/>
          <w:right w:w="56" w:type="dxa"/>
        </w:tblCellMar>
        <w:tblLook w:val="04A0" w:firstRow="1" w:lastRow="0" w:firstColumn="1" w:lastColumn="0" w:noHBand="0" w:noVBand="1"/>
      </w:tblPr>
      <w:tblGrid>
        <w:gridCol w:w="2333"/>
        <w:gridCol w:w="7472"/>
      </w:tblGrid>
      <w:tr w:rsidR="003B547B" w:rsidRPr="003B547B" w14:paraId="2F3A4999" w14:textId="77777777">
        <w:trPr>
          <w:trHeight w:val="259"/>
        </w:trPr>
        <w:tc>
          <w:tcPr>
            <w:tcW w:w="2333" w:type="dxa"/>
            <w:tcBorders>
              <w:top w:val="single" w:sz="4" w:space="0" w:color="000000"/>
              <w:left w:val="single" w:sz="4" w:space="0" w:color="000000"/>
              <w:bottom w:val="single" w:sz="4" w:space="0" w:color="000000"/>
              <w:right w:val="single" w:sz="4" w:space="0" w:color="000000"/>
            </w:tcBorders>
            <w:shd w:val="clear" w:color="auto" w:fill="C00000"/>
          </w:tcPr>
          <w:p w14:paraId="75B02A44"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KEY AREA </w:t>
            </w:r>
          </w:p>
        </w:tc>
        <w:tc>
          <w:tcPr>
            <w:tcW w:w="7471" w:type="dxa"/>
            <w:tcBorders>
              <w:top w:val="single" w:sz="4" w:space="0" w:color="000000"/>
              <w:left w:val="single" w:sz="4" w:space="0" w:color="000000"/>
              <w:bottom w:val="single" w:sz="4" w:space="0" w:color="000000"/>
              <w:right w:val="single" w:sz="4" w:space="0" w:color="000000"/>
            </w:tcBorders>
            <w:shd w:val="clear" w:color="auto" w:fill="C00000"/>
          </w:tcPr>
          <w:p w14:paraId="02526D5D"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ACTIVITIES </w:t>
            </w:r>
          </w:p>
        </w:tc>
      </w:tr>
      <w:tr w:rsidR="003B547B" w:rsidRPr="00677BB2" w14:paraId="5F4869FE" w14:textId="77777777">
        <w:trPr>
          <w:trHeight w:val="2368"/>
        </w:trPr>
        <w:tc>
          <w:tcPr>
            <w:tcW w:w="2333" w:type="dxa"/>
            <w:tcBorders>
              <w:top w:val="single" w:sz="4" w:space="0" w:color="000000"/>
              <w:left w:val="single" w:sz="4" w:space="0" w:color="000000"/>
              <w:bottom w:val="single" w:sz="4" w:space="0" w:color="000000"/>
              <w:right w:val="single" w:sz="4" w:space="0" w:color="000000"/>
            </w:tcBorders>
          </w:tcPr>
          <w:p w14:paraId="6A2650FE"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 </w:t>
            </w:r>
          </w:p>
          <w:p w14:paraId="5AFE0C05" w14:textId="77777777" w:rsidR="004F1EE6" w:rsidRPr="003B547B" w:rsidRDefault="008329D9">
            <w:pPr>
              <w:spacing w:after="0" w:line="259" w:lineRule="auto"/>
              <w:ind w:left="0" w:right="15" w:firstLine="0"/>
              <w:jc w:val="left"/>
              <w:rPr>
                <w:rFonts w:asciiTheme="minorHAnsi" w:hAnsiTheme="minorHAnsi" w:cstheme="minorHAnsi"/>
                <w:color w:val="auto"/>
                <w:szCs w:val="22"/>
                <w:lang w:val="en-US"/>
              </w:rPr>
            </w:pPr>
            <w:r w:rsidRPr="003B547B">
              <w:rPr>
                <w:rFonts w:asciiTheme="minorHAnsi" w:hAnsiTheme="minorHAnsi" w:cstheme="minorHAnsi"/>
                <w:b/>
                <w:color w:val="auto"/>
                <w:szCs w:val="22"/>
                <w:lang w:val="en-US"/>
              </w:rPr>
              <w:t xml:space="preserve">Program Planning and Implementation Oversight (40%) </w:t>
            </w:r>
          </w:p>
        </w:tc>
        <w:tc>
          <w:tcPr>
            <w:tcW w:w="7471" w:type="dxa"/>
            <w:tcBorders>
              <w:top w:val="single" w:sz="4" w:space="0" w:color="000000"/>
              <w:left w:val="single" w:sz="4" w:space="0" w:color="000000"/>
              <w:bottom w:val="single" w:sz="4" w:space="0" w:color="000000"/>
              <w:right w:val="single" w:sz="4" w:space="0" w:color="000000"/>
            </w:tcBorders>
          </w:tcPr>
          <w:p w14:paraId="5F1FFD4C" w14:textId="77777777" w:rsidR="004F1EE6" w:rsidRPr="003B547B" w:rsidRDefault="008329D9">
            <w:pPr>
              <w:numPr>
                <w:ilvl w:val="0"/>
                <w:numId w:val="3"/>
              </w:numPr>
              <w:spacing w:after="54" w:line="237" w:lineRule="auto"/>
              <w:ind w:hanging="361"/>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Support the development and implementation of West Countries’ SLL implementation plans. </w:t>
            </w:r>
          </w:p>
          <w:p w14:paraId="69453282" w14:textId="77777777" w:rsidR="004F1EE6" w:rsidRPr="003B547B" w:rsidRDefault="008329D9">
            <w:pPr>
              <w:numPr>
                <w:ilvl w:val="0"/>
                <w:numId w:val="3"/>
              </w:numPr>
              <w:spacing w:after="20" w:line="237" w:lineRule="auto"/>
              <w:ind w:hanging="361"/>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Ensure that the Countries’ implementation plans are closely monitored and reviewed periodically. </w:t>
            </w:r>
          </w:p>
          <w:p w14:paraId="1EAFA6A1" w14:textId="77777777" w:rsidR="004F1EE6" w:rsidRPr="003B547B" w:rsidRDefault="008329D9">
            <w:pPr>
              <w:numPr>
                <w:ilvl w:val="0"/>
                <w:numId w:val="3"/>
              </w:numPr>
              <w:spacing w:after="0" w:line="259" w:lineRule="auto"/>
              <w:ind w:hanging="361"/>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Ensure quality implementation and performance of all projects. </w:t>
            </w:r>
          </w:p>
          <w:p w14:paraId="53983C90" w14:textId="77777777" w:rsidR="004F1EE6" w:rsidRPr="003B547B" w:rsidRDefault="008329D9">
            <w:pPr>
              <w:numPr>
                <w:ilvl w:val="0"/>
                <w:numId w:val="3"/>
              </w:numPr>
              <w:spacing w:after="17" w:line="242" w:lineRule="auto"/>
              <w:ind w:hanging="361"/>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Work closely with the Regional </w:t>
            </w:r>
            <w:proofErr w:type="spellStart"/>
            <w:r w:rsidRPr="003B547B">
              <w:rPr>
                <w:rFonts w:asciiTheme="minorHAnsi" w:hAnsiTheme="minorHAnsi" w:cstheme="minorHAnsi"/>
                <w:color w:val="auto"/>
                <w:szCs w:val="22"/>
                <w:lang w:val="en-US"/>
              </w:rPr>
              <w:t>Programme</w:t>
            </w:r>
            <w:proofErr w:type="spellEnd"/>
            <w:r w:rsidRPr="003B547B">
              <w:rPr>
                <w:rFonts w:asciiTheme="minorHAnsi" w:hAnsiTheme="minorHAnsi" w:cstheme="minorHAnsi"/>
                <w:color w:val="auto"/>
                <w:szCs w:val="22"/>
                <w:lang w:val="en-US"/>
              </w:rPr>
              <w:t xml:space="preserve"> Managers and Country Managers for follow through of recommendations made during weekly review sessions. </w:t>
            </w:r>
          </w:p>
          <w:p w14:paraId="1258447F" w14:textId="77777777" w:rsidR="004F1EE6" w:rsidRPr="003B547B" w:rsidRDefault="008329D9">
            <w:pPr>
              <w:numPr>
                <w:ilvl w:val="0"/>
                <w:numId w:val="3"/>
              </w:numPr>
              <w:spacing w:after="0" w:line="259" w:lineRule="auto"/>
              <w:ind w:hanging="361"/>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Provide technical input in the growth of the GHS program portfolio and overall management of health initiatives in the Unit. </w:t>
            </w:r>
          </w:p>
        </w:tc>
      </w:tr>
      <w:tr w:rsidR="003B547B" w:rsidRPr="003B547B" w14:paraId="2CD5929C" w14:textId="77777777">
        <w:trPr>
          <w:trHeight w:val="262"/>
        </w:trPr>
        <w:tc>
          <w:tcPr>
            <w:tcW w:w="2333" w:type="dxa"/>
            <w:tcBorders>
              <w:top w:val="single" w:sz="4" w:space="0" w:color="000000"/>
              <w:left w:val="single" w:sz="4" w:space="0" w:color="000000"/>
              <w:bottom w:val="single" w:sz="4" w:space="0" w:color="000000"/>
              <w:right w:val="single" w:sz="4" w:space="0" w:color="000000"/>
            </w:tcBorders>
            <w:shd w:val="clear" w:color="auto" w:fill="C00000"/>
          </w:tcPr>
          <w:p w14:paraId="78171567"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KEY AREA </w:t>
            </w:r>
          </w:p>
        </w:tc>
        <w:tc>
          <w:tcPr>
            <w:tcW w:w="7471" w:type="dxa"/>
            <w:tcBorders>
              <w:top w:val="single" w:sz="4" w:space="0" w:color="000000"/>
              <w:left w:val="single" w:sz="4" w:space="0" w:color="000000"/>
              <w:bottom w:val="single" w:sz="4" w:space="0" w:color="000000"/>
              <w:right w:val="single" w:sz="4" w:space="0" w:color="000000"/>
            </w:tcBorders>
            <w:shd w:val="clear" w:color="auto" w:fill="C00000"/>
          </w:tcPr>
          <w:p w14:paraId="289D1258"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ACTIVITIES </w:t>
            </w:r>
          </w:p>
        </w:tc>
      </w:tr>
      <w:tr w:rsidR="003B547B" w:rsidRPr="00677BB2" w14:paraId="2205A4FE" w14:textId="77777777">
        <w:trPr>
          <w:trHeight w:val="1845"/>
        </w:trPr>
        <w:tc>
          <w:tcPr>
            <w:tcW w:w="2333" w:type="dxa"/>
            <w:tcBorders>
              <w:top w:val="single" w:sz="4" w:space="0" w:color="000000"/>
              <w:left w:val="single" w:sz="4" w:space="0" w:color="000000"/>
              <w:bottom w:val="single" w:sz="4" w:space="0" w:color="000000"/>
              <w:right w:val="single" w:sz="4" w:space="0" w:color="000000"/>
            </w:tcBorders>
          </w:tcPr>
          <w:p w14:paraId="18663FF1" w14:textId="77777777" w:rsidR="004F1EE6" w:rsidRPr="003B547B" w:rsidRDefault="008329D9">
            <w:pPr>
              <w:spacing w:after="0" w:line="259" w:lineRule="auto"/>
              <w:ind w:left="0" w:firstLine="0"/>
              <w:jc w:val="left"/>
              <w:rPr>
                <w:rFonts w:asciiTheme="minorHAnsi" w:hAnsiTheme="minorHAnsi" w:cstheme="minorHAnsi"/>
                <w:color w:val="auto"/>
                <w:szCs w:val="22"/>
              </w:rPr>
            </w:pPr>
            <w:proofErr w:type="spellStart"/>
            <w:r w:rsidRPr="003B547B">
              <w:rPr>
                <w:rFonts w:asciiTheme="minorHAnsi" w:hAnsiTheme="minorHAnsi" w:cstheme="minorHAnsi"/>
                <w:b/>
                <w:color w:val="auto"/>
                <w:szCs w:val="22"/>
              </w:rPr>
              <w:t>Technical</w:t>
            </w:r>
            <w:proofErr w:type="spellEnd"/>
            <w:r w:rsidRPr="003B547B">
              <w:rPr>
                <w:rFonts w:asciiTheme="minorHAnsi" w:hAnsiTheme="minorHAnsi" w:cstheme="minorHAnsi"/>
                <w:b/>
                <w:color w:val="auto"/>
                <w:szCs w:val="22"/>
              </w:rPr>
              <w:t xml:space="preserve"> Program Support (30%) </w:t>
            </w:r>
          </w:p>
        </w:tc>
        <w:tc>
          <w:tcPr>
            <w:tcW w:w="7471" w:type="dxa"/>
            <w:tcBorders>
              <w:top w:val="single" w:sz="4" w:space="0" w:color="000000"/>
              <w:left w:val="single" w:sz="4" w:space="0" w:color="000000"/>
              <w:bottom w:val="single" w:sz="4" w:space="0" w:color="000000"/>
              <w:right w:val="single" w:sz="4" w:space="0" w:color="000000"/>
            </w:tcBorders>
          </w:tcPr>
          <w:p w14:paraId="25AFCF27" w14:textId="77777777" w:rsidR="004F1EE6" w:rsidRPr="003B547B" w:rsidRDefault="008329D9">
            <w:pPr>
              <w:numPr>
                <w:ilvl w:val="0"/>
                <w:numId w:val="4"/>
              </w:numPr>
              <w:spacing w:after="19" w:line="238" w:lineRule="auto"/>
              <w:ind w:hanging="361"/>
              <w:jc w:val="left"/>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Provide technical support to country teams in development and review of project documents such as budgets, workplans and M&amp;E plans.  </w:t>
            </w:r>
          </w:p>
          <w:p w14:paraId="64AAD366" w14:textId="77777777" w:rsidR="004F1EE6" w:rsidRPr="003B547B" w:rsidRDefault="008329D9">
            <w:pPr>
              <w:numPr>
                <w:ilvl w:val="0"/>
                <w:numId w:val="4"/>
              </w:numPr>
              <w:spacing w:after="19" w:line="238" w:lineRule="auto"/>
              <w:ind w:hanging="361"/>
              <w:jc w:val="left"/>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Provide technical support to strengthen the capacity of country teams to align with MOH priorities and enhance COVID-19 vaccine deployment in the respective countries.  </w:t>
            </w:r>
          </w:p>
          <w:p w14:paraId="087CCDCB" w14:textId="77777777" w:rsidR="004F1EE6" w:rsidRPr="003B547B" w:rsidRDefault="008329D9">
            <w:pPr>
              <w:numPr>
                <w:ilvl w:val="0"/>
                <w:numId w:val="4"/>
              </w:numPr>
              <w:spacing w:after="0" w:line="259" w:lineRule="auto"/>
              <w:ind w:hanging="361"/>
              <w:jc w:val="left"/>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Support development of technical briefs for GHS Unit. </w:t>
            </w:r>
          </w:p>
          <w:p w14:paraId="36EFA124" w14:textId="77777777" w:rsidR="004F1EE6" w:rsidRPr="003B547B" w:rsidRDefault="008329D9">
            <w:pPr>
              <w:numPr>
                <w:ilvl w:val="0"/>
                <w:numId w:val="4"/>
              </w:numPr>
              <w:spacing w:after="0" w:line="259" w:lineRule="auto"/>
              <w:ind w:hanging="361"/>
              <w:jc w:val="left"/>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Identify promising practices and models for follow through and incubation. </w:t>
            </w:r>
          </w:p>
        </w:tc>
      </w:tr>
      <w:tr w:rsidR="003B547B" w:rsidRPr="00677BB2" w14:paraId="376FD41B" w14:textId="77777777">
        <w:trPr>
          <w:trHeight w:val="2081"/>
        </w:trPr>
        <w:tc>
          <w:tcPr>
            <w:tcW w:w="2333" w:type="dxa"/>
            <w:tcBorders>
              <w:top w:val="single" w:sz="4" w:space="0" w:color="000000"/>
              <w:left w:val="single" w:sz="4" w:space="0" w:color="000000"/>
              <w:bottom w:val="single" w:sz="4" w:space="0" w:color="000000"/>
              <w:right w:val="single" w:sz="4" w:space="0" w:color="000000"/>
            </w:tcBorders>
          </w:tcPr>
          <w:p w14:paraId="4D975F9E"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Monitoring, </w:t>
            </w:r>
          </w:p>
          <w:p w14:paraId="433C04D8" w14:textId="77777777" w:rsidR="004F1EE6" w:rsidRPr="003B547B" w:rsidRDefault="008329D9">
            <w:pPr>
              <w:spacing w:after="0" w:line="259" w:lineRule="auto"/>
              <w:ind w:left="0" w:firstLine="0"/>
              <w:jc w:val="left"/>
              <w:rPr>
                <w:rFonts w:asciiTheme="minorHAnsi" w:hAnsiTheme="minorHAnsi" w:cstheme="minorHAnsi"/>
                <w:color w:val="auto"/>
                <w:szCs w:val="22"/>
              </w:rPr>
            </w:pPr>
            <w:proofErr w:type="spellStart"/>
            <w:r w:rsidRPr="003B547B">
              <w:rPr>
                <w:rFonts w:asciiTheme="minorHAnsi" w:hAnsiTheme="minorHAnsi" w:cstheme="minorHAnsi"/>
                <w:b/>
                <w:color w:val="auto"/>
                <w:szCs w:val="22"/>
              </w:rPr>
              <w:t>Evaluation</w:t>
            </w:r>
            <w:proofErr w:type="spellEnd"/>
            <w:r w:rsidRPr="003B547B">
              <w:rPr>
                <w:rFonts w:asciiTheme="minorHAnsi" w:hAnsiTheme="minorHAnsi" w:cstheme="minorHAnsi"/>
                <w:b/>
                <w:color w:val="auto"/>
                <w:szCs w:val="22"/>
              </w:rPr>
              <w:t xml:space="preserve">, </w:t>
            </w:r>
            <w:proofErr w:type="spellStart"/>
            <w:r w:rsidRPr="003B547B">
              <w:rPr>
                <w:rFonts w:asciiTheme="minorHAnsi" w:hAnsiTheme="minorHAnsi" w:cstheme="minorHAnsi"/>
                <w:b/>
                <w:color w:val="auto"/>
                <w:szCs w:val="22"/>
              </w:rPr>
              <w:t>Reporting</w:t>
            </w:r>
            <w:proofErr w:type="spellEnd"/>
            <w:r w:rsidRPr="003B547B">
              <w:rPr>
                <w:rFonts w:asciiTheme="minorHAnsi" w:hAnsiTheme="minorHAnsi" w:cstheme="minorHAnsi"/>
                <w:b/>
                <w:color w:val="auto"/>
                <w:szCs w:val="22"/>
              </w:rPr>
              <w:t xml:space="preserve"> </w:t>
            </w:r>
          </w:p>
          <w:p w14:paraId="7092A124"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(20%) </w:t>
            </w:r>
          </w:p>
        </w:tc>
        <w:tc>
          <w:tcPr>
            <w:tcW w:w="7471" w:type="dxa"/>
            <w:tcBorders>
              <w:top w:val="single" w:sz="4" w:space="0" w:color="000000"/>
              <w:left w:val="single" w:sz="4" w:space="0" w:color="000000"/>
              <w:bottom w:val="single" w:sz="4" w:space="0" w:color="000000"/>
              <w:right w:val="single" w:sz="4" w:space="0" w:color="000000"/>
            </w:tcBorders>
          </w:tcPr>
          <w:p w14:paraId="443CD7A4" w14:textId="77777777" w:rsidR="004F1EE6" w:rsidRPr="003B547B" w:rsidRDefault="008329D9">
            <w:pPr>
              <w:numPr>
                <w:ilvl w:val="0"/>
                <w:numId w:val="5"/>
              </w:numPr>
              <w:spacing w:after="20" w:line="237" w:lineRule="auto"/>
              <w:ind w:hanging="361"/>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Organize and Lead periodic program review meetings (Monthly, Quarterly and Annual Program Review meetings). </w:t>
            </w:r>
          </w:p>
          <w:p w14:paraId="6D298844" w14:textId="77777777" w:rsidR="004F1EE6" w:rsidRPr="003B547B" w:rsidRDefault="008329D9">
            <w:pPr>
              <w:numPr>
                <w:ilvl w:val="0"/>
                <w:numId w:val="5"/>
              </w:numPr>
              <w:spacing w:after="22" w:line="237" w:lineRule="auto"/>
              <w:ind w:hanging="361"/>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Participate in weekly review sessions with the countries and flag any issues that need management attention in a timely manner.   </w:t>
            </w:r>
          </w:p>
          <w:p w14:paraId="6D5D82CD" w14:textId="77777777" w:rsidR="004F1EE6" w:rsidRPr="003B547B" w:rsidRDefault="008329D9">
            <w:pPr>
              <w:numPr>
                <w:ilvl w:val="0"/>
                <w:numId w:val="5"/>
              </w:numPr>
              <w:spacing w:after="0" w:line="259" w:lineRule="auto"/>
              <w:ind w:hanging="361"/>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Work closely with the GHS M&amp;E team for timely compilation of technical reports on a weekly, monthly, quarterly, biannual, annual basis observing donor-specific deadlines and requirements in compliance with relevant </w:t>
            </w:r>
            <w:proofErr w:type="spellStart"/>
            <w:r w:rsidRPr="003B547B">
              <w:rPr>
                <w:rFonts w:asciiTheme="minorHAnsi" w:hAnsiTheme="minorHAnsi" w:cstheme="minorHAnsi"/>
                <w:color w:val="auto"/>
                <w:szCs w:val="22"/>
                <w:lang w:val="en-US"/>
              </w:rPr>
              <w:t>Amref</w:t>
            </w:r>
            <w:proofErr w:type="spellEnd"/>
            <w:r w:rsidRPr="003B547B">
              <w:rPr>
                <w:rFonts w:asciiTheme="minorHAnsi" w:hAnsiTheme="minorHAnsi" w:cstheme="minorHAnsi"/>
                <w:color w:val="auto"/>
                <w:szCs w:val="22"/>
                <w:lang w:val="en-US"/>
              </w:rPr>
              <w:t xml:space="preserve"> policies and regulations. </w:t>
            </w:r>
          </w:p>
        </w:tc>
      </w:tr>
      <w:tr w:rsidR="003B547B" w:rsidRPr="00677BB2" w14:paraId="1A234F08" w14:textId="77777777">
        <w:trPr>
          <w:trHeight w:val="802"/>
        </w:trPr>
        <w:tc>
          <w:tcPr>
            <w:tcW w:w="2333" w:type="dxa"/>
            <w:tcBorders>
              <w:top w:val="single" w:sz="4" w:space="0" w:color="000000"/>
              <w:left w:val="single" w:sz="4" w:space="0" w:color="000000"/>
              <w:bottom w:val="single" w:sz="4" w:space="0" w:color="000000"/>
              <w:right w:val="single" w:sz="4" w:space="0" w:color="000000"/>
            </w:tcBorders>
          </w:tcPr>
          <w:p w14:paraId="5828DD5C" w14:textId="77777777" w:rsidR="004F1EE6" w:rsidRPr="003B547B" w:rsidRDefault="008329D9">
            <w:pPr>
              <w:spacing w:after="0" w:line="259" w:lineRule="auto"/>
              <w:ind w:left="0" w:firstLine="0"/>
              <w:jc w:val="left"/>
              <w:rPr>
                <w:rFonts w:asciiTheme="minorHAnsi" w:hAnsiTheme="minorHAnsi" w:cstheme="minorHAnsi"/>
                <w:color w:val="auto"/>
                <w:szCs w:val="22"/>
              </w:rPr>
            </w:pPr>
            <w:proofErr w:type="spellStart"/>
            <w:r w:rsidRPr="003B547B">
              <w:rPr>
                <w:rFonts w:asciiTheme="minorHAnsi" w:hAnsiTheme="minorHAnsi" w:cstheme="minorHAnsi"/>
                <w:b/>
                <w:color w:val="auto"/>
                <w:szCs w:val="22"/>
              </w:rPr>
              <w:lastRenderedPageBreak/>
              <w:t>Knowledge</w:t>
            </w:r>
            <w:proofErr w:type="spellEnd"/>
            <w:r w:rsidRPr="003B547B">
              <w:rPr>
                <w:rFonts w:asciiTheme="minorHAnsi" w:hAnsiTheme="minorHAnsi" w:cstheme="minorHAnsi"/>
                <w:b/>
                <w:color w:val="auto"/>
                <w:szCs w:val="22"/>
              </w:rPr>
              <w:t xml:space="preserve"> </w:t>
            </w:r>
          </w:p>
          <w:p w14:paraId="32C0EC30"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Management and </w:t>
            </w:r>
          </w:p>
          <w:p w14:paraId="2E31B824" w14:textId="77777777" w:rsidR="004F1EE6" w:rsidRPr="003B547B" w:rsidRDefault="008329D9">
            <w:pPr>
              <w:spacing w:after="0" w:line="259" w:lineRule="auto"/>
              <w:ind w:left="0" w:firstLine="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Learning (10%) </w:t>
            </w:r>
          </w:p>
        </w:tc>
        <w:tc>
          <w:tcPr>
            <w:tcW w:w="7471" w:type="dxa"/>
            <w:tcBorders>
              <w:top w:val="single" w:sz="4" w:space="0" w:color="000000"/>
              <w:left w:val="single" w:sz="4" w:space="0" w:color="000000"/>
              <w:bottom w:val="single" w:sz="4" w:space="0" w:color="000000"/>
              <w:right w:val="single" w:sz="4" w:space="0" w:color="000000"/>
            </w:tcBorders>
          </w:tcPr>
          <w:p w14:paraId="44721A97" w14:textId="77777777" w:rsidR="004F1EE6" w:rsidRPr="003B547B" w:rsidRDefault="008329D9">
            <w:pPr>
              <w:numPr>
                <w:ilvl w:val="0"/>
                <w:numId w:val="6"/>
              </w:numPr>
              <w:spacing w:after="22" w:line="237" w:lineRule="auto"/>
              <w:ind w:hanging="361"/>
              <w:jc w:val="left"/>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Leading research work including documentation, dissemination and publications of project innovations and impact stories. </w:t>
            </w:r>
          </w:p>
          <w:p w14:paraId="6872E0B4" w14:textId="77777777" w:rsidR="004F1EE6" w:rsidRPr="003B547B" w:rsidRDefault="008329D9">
            <w:pPr>
              <w:numPr>
                <w:ilvl w:val="0"/>
                <w:numId w:val="6"/>
              </w:numPr>
              <w:spacing w:after="0" w:line="259" w:lineRule="auto"/>
              <w:ind w:hanging="361"/>
              <w:jc w:val="left"/>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Convene periodic cross learning platforms and forums for the SLL program. </w:t>
            </w:r>
          </w:p>
        </w:tc>
      </w:tr>
    </w:tbl>
    <w:p w14:paraId="579BA020" w14:textId="77777777" w:rsidR="004F1EE6" w:rsidRPr="003B547B" w:rsidRDefault="008329D9" w:rsidP="003B547B">
      <w:pPr>
        <w:spacing w:after="0" w:line="259" w:lineRule="auto"/>
        <w:ind w:left="0" w:firstLine="0"/>
        <w:jc w:val="left"/>
        <w:rPr>
          <w:rFonts w:asciiTheme="minorHAnsi" w:hAnsiTheme="minorHAnsi" w:cstheme="minorHAnsi"/>
          <w:color w:val="auto"/>
          <w:szCs w:val="22"/>
          <w:lang w:val="en-US"/>
        </w:rPr>
      </w:pPr>
      <w:r w:rsidRPr="003B547B">
        <w:rPr>
          <w:rFonts w:asciiTheme="minorHAnsi" w:hAnsiTheme="minorHAnsi" w:cstheme="minorHAnsi"/>
          <w:b/>
          <w:color w:val="auto"/>
          <w:szCs w:val="22"/>
          <w:lang w:val="en-US"/>
        </w:rPr>
        <w:t xml:space="preserve">  </w:t>
      </w:r>
    </w:p>
    <w:p w14:paraId="085ACAA3" w14:textId="77777777" w:rsidR="004F1EE6" w:rsidRPr="003B547B" w:rsidRDefault="008329D9">
      <w:pPr>
        <w:numPr>
          <w:ilvl w:val="0"/>
          <w:numId w:val="1"/>
        </w:numPr>
        <w:spacing w:after="4" w:line="259" w:lineRule="auto"/>
        <w:ind w:hanging="360"/>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REQUIRED QUALIFICATIONS </w:t>
      </w:r>
    </w:p>
    <w:p w14:paraId="1E1C8EFB" w14:textId="77777777" w:rsidR="004F1EE6" w:rsidRPr="003B547B" w:rsidRDefault="008329D9">
      <w:pPr>
        <w:spacing w:after="4" w:line="259" w:lineRule="auto"/>
        <w:ind w:left="370"/>
        <w:jc w:val="left"/>
        <w:rPr>
          <w:rFonts w:asciiTheme="minorHAnsi" w:hAnsiTheme="minorHAnsi" w:cstheme="minorHAnsi"/>
          <w:color w:val="auto"/>
          <w:szCs w:val="22"/>
        </w:rPr>
      </w:pPr>
      <w:r w:rsidRPr="003B547B">
        <w:rPr>
          <w:rFonts w:asciiTheme="minorHAnsi" w:hAnsiTheme="minorHAnsi" w:cstheme="minorHAnsi"/>
          <w:b/>
          <w:color w:val="auto"/>
          <w:szCs w:val="22"/>
        </w:rPr>
        <w:t>4.1.</w:t>
      </w:r>
      <w:r w:rsidRPr="003B547B">
        <w:rPr>
          <w:rFonts w:asciiTheme="minorHAnsi" w:eastAsia="Arial" w:hAnsiTheme="minorHAnsi" w:cstheme="minorHAnsi"/>
          <w:b/>
          <w:color w:val="auto"/>
          <w:szCs w:val="22"/>
        </w:rPr>
        <w:t xml:space="preserve"> </w:t>
      </w:r>
      <w:proofErr w:type="spellStart"/>
      <w:r w:rsidRPr="003B547B">
        <w:rPr>
          <w:rFonts w:asciiTheme="minorHAnsi" w:hAnsiTheme="minorHAnsi" w:cstheme="minorHAnsi"/>
          <w:b/>
          <w:color w:val="auto"/>
          <w:szCs w:val="22"/>
        </w:rPr>
        <w:t>Education</w:t>
      </w:r>
      <w:proofErr w:type="spellEnd"/>
      <w:r w:rsidRPr="003B547B">
        <w:rPr>
          <w:rFonts w:asciiTheme="minorHAnsi" w:hAnsiTheme="minorHAnsi" w:cstheme="minorHAnsi"/>
          <w:b/>
          <w:color w:val="auto"/>
          <w:szCs w:val="22"/>
        </w:rPr>
        <w:t xml:space="preserve"> and </w:t>
      </w:r>
      <w:proofErr w:type="spellStart"/>
      <w:r w:rsidRPr="003B547B">
        <w:rPr>
          <w:rFonts w:asciiTheme="minorHAnsi" w:hAnsiTheme="minorHAnsi" w:cstheme="minorHAnsi"/>
          <w:b/>
          <w:color w:val="auto"/>
          <w:szCs w:val="22"/>
        </w:rPr>
        <w:t>Knowledge</w:t>
      </w:r>
      <w:proofErr w:type="spellEnd"/>
      <w:r w:rsidRPr="003B547B">
        <w:rPr>
          <w:rFonts w:asciiTheme="minorHAnsi" w:hAnsiTheme="minorHAnsi" w:cstheme="minorHAnsi"/>
          <w:b/>
          <w:color w:val="auto"/>
          <w:szCs w:val="22"/>
        </w:rPr>
        <w:t xml:space="preserve"> </w:t>
      </w:r>
    </w:p>
    <w:p w14:paraId="48A5FCC3" w14:textId="77777777" w:rsidR="004F1EE6" w:rsidRPr="003B547B" w:rsidRDefault="008329D9">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Bachelor’s degree in Public Health or related field </w:t>
      </w:r>
    </w:p>
    <w:p w14:paraId="22DEACEB" w14:textId="77777777" w:rsidR="004F1EE6" w:rsidRPr="003B547B" w:rsidRDefault="008329D9">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Master’s Degree is an added advantage. </w:t>
      </w:r>
    </w:p>
    <w:p w14:paraId="539C724F" w14:textId="77777777" w:rsidR="004F1EE6" w:rsidRPr="003B547B" w:rsidRDefault="008329D9">
      <w:pPr>
        <w:spacing w:after="0" w:line="259" w:lineRule="auto"/>
        <w:ind w:left="0" w:firstLine="0"/>
        <w:jc w:val="left"/>
        <w:rPr>
          <w:rFonts w:asciiTheme="minorHAnsi" w:hAnsiTheme="minorHAnsi" w:cstheme="minorHAnsi"/>
          <w:color w:val="auto"/>
          <w:szCs w:val="22"/>
          <w:lang w:val="en-US"/>
        </w:rPr>
      </w:pPr>
      <w:r w:rsidRPr="003B547B">
        <w:rPr>
          <w:rFonts w:asciiTheme="minorHAnsi" w:hAnsiTheme="minorHAnsi" w:cstheme="minorHAnsi"/>
          <w:b/>
          <w:color w:val="auto"/>
          <w:szCs w:val="22"/>
          <w:lang w:val="en-US"/>
        </w:rPr>
        <w:t xml:space="preserve"> </w:t>
      </w:r>
    </w:p>
    <w:p w14:paraId="33DA30B8" w14:textId="77777777" w:rsidR="004F1EE6" w:rsidRPr="003B547B" w:rsidRDefault="008329D9">
      <w:pPr>
        <w:spacing w:after="4" w:line="259" w:lineRule="auto"/>
        <w:ind w:left="370"/>
        <w:jc w:val="left"/>
        <w:rPr>
          <w:rFonts w:asciiTheme="minorHAnsi" w:hAnsiTheme="minorHAnsi" w:cstheme="minorHAnsi"/>
          <w:color w:val="auto"/>
          <w:szCs w:val="22"/>
        </w:rPr>
      </w:pPr>
      <w:r w:rsidRPr="003B547B">
        <w:rPr>
          <w:rFonts w:asciiTheme="minorHAnsi" w:hAnsiTheme="minorHAnsi" w:cstheme="minorHAnsi"/>
          <w:b/>
          <w:color w:val="auto"/>
          <w:szCs w:val="22"/>
        </w:rPr>
        <w:t>4.2.</w:t>
      </w:r>
      <w:r w:rsidRPr="003B547B">
        <w:rPr>
          <w:rFonts w:asciiTheme="minorHAnsi" w:eastAsia="Arial" w:hAnsiTheme="minorHAnsi" w:cstheme="minorHAnsi"/>
          <w:b/>
          <w:color w:val="auto"/>
          <w:szCs w:val="22"/>
        </w:rPr>
        <w:t xml:space="preserve"> </w:t>
      </w:r>
      <w:proofErr w:type="spellStart"/>
      <w:r w:rsidRPr="003B547B">
        <w:rPr>
          <w:rFonts w:asciiTheme="minorHAnsi" w:hAnsiTheme="minorHAnsi" w:cstheme="minorHAnsi"/>
          <w:b/>
          <w:color w:val="auto"/>
          <w:szCs w:val="22"/>
        </w:rPr>
        <w:t>Required</w:t>
      </w:r>
      <w:proofErr w:type="spellEnd"/>
      <w:r w:rsidRPr="003B547B">
        <w:rPr>
          <w:rFonts w:asciiTheme="minorHAnsi" w:hAnsiTheme="minorHAnsi" w:cstheme="minorHAnsi"/>
          <w:b/>
          <w:color w:val="auto"/>
          <w:szCs w:val="22"/>
        </w:rPr>
        <w:t xml:space="preserve"> Qualifications and </w:t>
      </w:r>
      <w:proofErr w:type="spellStart"/>
      <w:r w:rsidRPr="003B547B">
        <w:rPr>
          <w:rFonts w:asciiTheme="minorHAnsi" w:hAnsiTheme="minorHAnsi" w:cstheme="minorHAnsi"/>
          <w:b/>
          <w:color w:val="auto"/>
          <w:szCs w:val="22"/>
        </w:rPr>
        <w:t>Experience</w:t>
      </w:r>
      <w:proofErr w:type="spellEnd"/>
      <w:r w:rsidRPr="003B547B">
        <w:rPr>
          <w:rFonts w:asciiTheme="minorHAnsi" w:hAnsiTheme="minorHAnsi" w:cstheme="minorHAnsi"/>
          <w:b/>
          <w:color w:val="auto"/>
          <w:szCs w:val="22"/>
        </w:rPr>
        <w:t xml:space="preserve"> </w:t>
      </w:r>
    </w:p>
    <w:p w14:paraId="548BCB86" w14:textId="711C597A" w:rsidR="004F1EE6" w:rsidRPr="003B547B" w:rsidRDefault="00677BB2">
      <w:pPr>
        <w:numPr>
          <w:ilvl w:val="0"/>
          <w:numId w:val="2"/>
        </w:numPr>
        <w:ind w:hanging="360"/>
        <w:rPr>
          <w:rFonts w:asciiTheme="minorHAnsi" w:hAnsiTheme="minorHAnsi" w:cstheme="minorHAnsi"/>
          <w:color w:val="auto"/>
          <w:szCs w:val="22"/>
          <w:lang w:val="en-US"/>
        </w:rPr>
      </w:pPr>
      <w:r>
        <w:rPr>
          <w:rFonts w:asciiTheme="minorHAnsi" w:hAnsiTheme="minorHAnsi" w:cstheme="minorHAnsi"/>
          <w:color w:val="auto"/>
          <w:szCs w:val="22"/>
          <w:lang w:val="en-US"/>
        </w:rPr>
        <w:t>Six</w:t>
      </w:r>
      <w:r w:rsidR="008329D9" w:rsidRPr="003B547B">
        <w:rPr>
          <w:rFonts w:asciiTheme="minorHAnsi" w:hAnsiTheme="minorHAnsi" w:cstheme="minorHAnsi"/>
          <w:color w:val="auto"/>
          <w:szCs w:val="22"/>
          <w:lang w:val="en-US"/>
        </w:rPr>
        <w:t xml:space="preserve"> (</w:t>
      </w:r>
      <w:r w:rsidR="00542601" w:rsidRPr="003B547B">
        <w:rPr>
          <w:rFonts w:asciiTheme="minorHAnsi" w:hAnsiTheme="minorHAnsi" w:cstheme="minorHAnsi"/>
          <w:color w:val="auto"/>
          <w:szCs w:val="22"/>
          <w:lang w:val="en-US"/>
        </w:rPr>
        <w:t>6</w:t>
      </w:r>
      <w:r w:rsidR="008329D9" w:rsidRPr="003B547B">
        <w:rPr>
          <w:rFonts w:asciiTheme="minorHAnsi" w:hAnsiTheme="minorHAnsi" w:cstheme="minorHAnsi"/>
          <w:color w:val="auto"/>
          <w:szCs w:val="22"/>
          <w:lang w:val="en-US"/>
        </w:rPr>
        <w:t xml:space="preserve">) years relevant work experience in management of national/regional health programs; </w:t>
      </w:r>
    </w:p>
    <w:p w14:paraId="120BB4DD" w14:textId="77777777" w:rsidR="004F1EE6" w:rsidRPr="003B547B" w:rsidRDefault="008329D9">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Solid experience leading diverse teams and preferably regional teams; </w:t>
      </w:r>
    </w:p>
    <w:p w14:paraId="66264C50" w14:textId="77777777" w:rsidR="004F1EE6" w:rsidRPr="003B547B" w:rsidRDefault="008329D9">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Demonstrated experience of contributing to national/international public health emergency discourse to influence public health programming; </w:t>
      </w:r>
    </w:p>
    <w:p w14:paraId="664A8495" w14:textId="77777777" w:rsidR="003B547B" w:rsidRDefault="008329D9">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Experience and strong reputation working with or liaising with Ministries of Health would be an advantage;</w:t>
      </w:r>
    </w:p>
    <w:p w14:paraId="53CD3B11" w14:textId="77777777" w:rsidR="004F1EE6" w:rsidRPr="003B547B" w:rsidRDefault="008329D9">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Demonstrated leadership showing strategic thinking in design and execution of projects, including steering work planning, managing and mentoring colleagues, and overseeing compliant and cost-effective use of resources to deliver on objectives. </w:t>
      </w:r>
    </w:p>
    <w:p w14:paraId="035FED72" w14:textId="77777777" w:rsidR="004F1EE6" w:rsidRPr="003B547B" w:rsidRDefault="008329D9">
      <w:pPr>
        <w:spacing w:after="0" w:line="259" w:lineRule="auto"/>
        <w:ind w:left="0" w:firstLine="0"/>
        <w:jc w:val="left"/>
        <w:rPr>
          <w:rFonts w:asciiTheme="minorHAnsi" w:hAnsiTheme="minorHAnsi" w:cstheme="minorHAnsi"/>
          <w:color w:val="auto"/>
          <w:szCs w:val="22"/>
          <w:lang w:val="en-US"/>
        </w:rPr>
      </w:pPr>
      <w:r w:rsidRPr="003B547B">
        <w:rPr>
          <w:rFonts w:asciiTheme="minorHAnsi" w:hAnsiTheme="minorHAnsi" w:cstheme="minorHAnsi"/>
          <w:b/>
          <w:color w:val="auto"/>
          <w:szCs w:val="22"/>
          <w:lang w:val="en-US"/>
        </w:rPr>
        <w:t xml:space="preserve"> </w:t>
      </w:r>
    </w:p>
    <w:p w14:paraId="1224E1F8" w14:textId="77777777" w:rsidR="004F1EE6" w:rsidRPr="003B547B" w:rsidRDefault="00542601">
      <w:pPr>
        <w:spacing w:after="4" w:line="259" w:lineRule="auto"/>
        <w:ind w:left="-5"/>
        <w:jc w:val="left"/>
        <w:rPr>
          <w:rFonts w:asciiTheme="minorHAnsi" w:hAnsiTheme="minorHAnsi" w:cstheme="minorHAnsi"/>
          <w:color w:val="auto"/>
          <w:szCs w:val="22"/>
        </w:rPr>
      </w:pPr>
      <w:r w:rsidRPr="003B547B">
        <w:rPr>
          <w:rFonts w:asciiTheme="minorHAnsi" w:hAnsiTheme="minorHAnsi" w:cstheme="minorHAnsi"/>
          <w:b/>
          <w:color w:val="auto"/>
          <w:szCs w:val="22"/>
        </w:rPr>
        <w:t xml:space="preserve">4.3 </w:t>
      </w:r>
      <w:proofErr w:type="spellStart"/>
      <w:r w:rsidRPr="003B547B">
        <w:rPr>
          <w:rFonts w:asciiTheme="minorHAnsi" w:hAnsiTheme="minorHAnsi" w:cstheme="minorHAnsi"/>
          <w:b/>
          <w:color w:val="auto"/>
          <w:szCs w:val="22"/>
        </w:rPr>
        <w:t>Knowledge</w:t>
      </w:r>
      <w:proofErr w:type="spellEnd"/>
      <w:r w:rsidRPr="003B547B">
        <w:rPr>
          <w:rFonts w:asciiTheme="minorHAnsi" w:hAnsiTheme="minorHAnsi" w:cstheme="minorHAnsi"/>
          <w:b/>
          <w:color w:val="auto"/>
          <w:szCs w:val="22"/>
        </w:rPr>
        <w:t xml:space="preserve">, </w:t>
      </w:r>
      <w:proofErr w:type="spellStart"/>
      <w:r w:rsidRPr="003B547B">
        <w:rPr>
          <w:rFonts w:asciiTheme="minorHAnsi" w:hAnsiTheme="minorHAnsi" w:cstheme="minorHAnsi"/>
          <w:b/>
          <w:color w:val="auto"/>
          <w:szCs w:val="22"/>
        </w:rPr>
        <w:t>Skills</w:t>
      </w:r>
      <w:proofErr w:type="spellEnd"/>
      <w:r w:rsidRPr="003B547B">
        <w:rPr>
          <w:rFonts w:asciiTheme="minorHAnsi" w:hAnsiTheme="minorHAnsi" w:cstheme="minorHAnsi"/>
          <w:b/>
          <w:color w:val="auto"/>
          <w:szCs w:val="22"/>
        </w:rPr>
        <w:t xml:space="preserve"> and </w:t>
      </w:r>
      <w:proofErr w:type="spellStart"/>
      <w:r w:rsidRPr="003B547B">
        <w:rPr>
          <w:rFonts w:asciiTheme="minorHAnsi" w:hAnsiTheme="minorHAnsi" w:cstheme="minorHAnsi"/>
          <w:b/>
          <w:color w:val="auto"/>
          <w:szCs w:val="22"/>
        </w:rPr>
        <w:t>Abilities</w:t>
      </w:r>
      <w:proofErr w:type="spellEnd"/>
      <w:r w:rsidRPr="003B547B">
        <w:rPr>
          <w:rFonts w:asciiTheme="minorHAnsi" w:hAnsiTheme="minorHAnsi" w:cstheme="minorHAnsi"/>
          <w:b/>
          <w:color w:val="auto"/>
          <w:szCs w:val="22"/>
        </w:rPr>
        <w:t xml:space="preserve"> </w:t>
      </w:r>
    </w:p>
    <w:p w14:paraId="2BFD995F" w14:textId="77777777" w:rsidR="004F1EE6" w:rsidRPr="003B547B" w:rsidRDefault="008329D9">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Knowledge of current issues in UHC, Public Health emergencies and GHS; </w:t>
      </w:r>
    </w:p>
    <w:p w14:paraId="3AF1A6C8" w14:textId="77777777" w:rsidR="004F1EE6" w:rsidRPr="003B547B" w:rsidRDefault="008329D9">
      <w:pPr>
        <w:numPr>
          <w:ilvl w:val="0"/>
          <w:numId w:val="2"/>
        </w:numPr>
        <w:ind w:hanging="360"/>
        <w:rPr>
          <w:rFonts w:asciiTheme="minorHAnsi" w:hAnsiTheme="minorHAnsi" w:cstheme="minorHAnsi"/>
          <w:color w:val="auto"/>
          <w:szCs w:val="22"/>
        </w:rPr>
      </w:pPr>
      <w:r w:rsidRPr="003B547B">
        <w:rPr>
          <w:rFonts w:asciiTheme="minorHAnsi" w:hAnsiTheme="minorHAnsi" w:cstheme="minorHAnsi"/>
          <w:color w:val="auto"/>
          <w:szCs w:val="22"/>
        </w:rPr>
        <w:t xml:space="preserve">Project management </w:t>
      </w:r>
      <w:proofErr w:type="spellStart"/>
      <w:r w:rsidRPr="003B547B">
        <w:rPr>
          <w:rFonts w:asciiTheme="minorHAnsi" w:hAnsiTheme="minorHAnsi" w:cstheme="minorHAnsi"/>
          <w:color w:val="auto"/>
          <w:szCs w:val="22"/>
        </w:rPr>
        <w:t>skills</w:t>
      </w:r>
      <w:proofErr w:type="spellEnd"/>
      <w:r w:rsidRPr="003B547B">
        <w:rPr>
          <w:rFonts w:asciiTheme="minorHAnsi" w:hAnsiTheme="minorHAnsi" w:cstheme="minorHAnsi"/>
          <w:color w:val="auto"/>
          <w:szCs w:val="22"/>
        </w:rPr>
        <w:t xml:space="preserve">; </w:t>
      </w:r>
    </w:p>
    <w:p w14:paraId="63981541" w14:textId="77777777" w:rsidR="004F1EE6" w:rsidRPr="003B547B" w:rsidRDefault="008329D9">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Strong skills in process facilitation and stakeholder management across diverse groups, including government and development partners; </w:t>
      </w:r>
    </w:p>
    <w:p w14:paraId="5C744D35" w14:textId="77777777" w:rsidR="003B547B" w:rsidRPr="003B547B" w:rsidRDefault="008329D9">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Strong interpersonal skills and experience working with cross-cultural teams,</w:t>
      </w:r>
    </w:p>
    <w:p w14:paraId="74C2C7FC" w14:textId="77777777" w:rsidR="004F1EE6" w:rsidRPr="003B547B" w:rsidRDefault="008329D9">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 Fluency in English, including excellent written and verbal communication skills; </w:t>
      </w:r>
    </w:p>
    <w:p w14:paraId="6F7F17AA" w14:textId="77777777" w:rsidR="00542601" w:rsidRPr="003B547B" w:rsidRDefault="008329D9" w:rsidP="00542601">
      <w:pPr>
        <w:numPr>
          <w:ilvl w:val="0"/>
          <w:numId w:val="2"/>
        </w:numPr>
        <w:ind w:hanging="360"/>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Report writing and presentation skills. </w:t>
      </w:r>
    </w:p>
    <w:p w14:paraId="79BBBE2E" w14:textId="77777777" w:rsidR="00542601" w:rsidRPr="003B547B" w:rsidRDefault="00542601" w:rsidP="00542601">
      <w:pPr>
        <w:rPr>
          <w:rFonts w:asciiTheme="minorHAnsi" w:hAnsiTheme="minorHAnsi" w:cstheme="minorHAnsi"/>
          <w:color w:val="auto"/>
          <w:szCs w:val="22"/>
          <w:lang w:val="en-US"/>
        </w:rPr>
      </w:pPr>
    </w:p>
    <w:p w14:paraId="327BDA6E" w14:textId="77777777" w:rsidR="00542601" w:rsidRPr="003B547B" w:rsidRDefault="00542601" w:rsidP="00542601">
      <w:pPr>
        <w:spacing w:line="276" w:lineRule="auto"/>
        <w:rPr>
          <w:rFonts w:asciiTheme="minorHAnsi" w:hAnsiTheme="minorHAnsi" w:cstheme="minorHAnsi"/>
          <w:b/>
          <w:color w:val="auto"/>
          <w:szCs w:val="22"/>
          <w:lang w:val="en-US"/>
        </w:rPr>
      </w:pPr>
      <w:r w:rsidRPr="003B547B">
        <w:rPr>
          <w:rFonts w:asciiTheme="minorHAnsi" w:hAnsiTheme="minorHAnsi" w:cstheme="minorHAnsi"/>
          <w:b/>
          <w:color w:val="auto"/>
          <w:szCs w:val="22"/>
          <w:lang w:val="en-US"/>
        </w:rPr>
        <w:t>4.4 Languages</w:t>
      </w:r>
    </w:p>
    <w:p w14:paraId="54778135" w14:textId="77777777" w:rsidR="00542601" w:rsidRPr="003B547B" w:rsidRDefault="00542601" w:rsidP="00542601">
      <w:pPr>
        <w:spacing w:line="276" w:lineRule="auto"/>
        <w:rPr>
          <w:rFonts w:asciiTheme="minorHAnsi" w:hAnsiTheme="minorHAnsi" w:cstheme="minorHAnsi"/>
          <w:b/>
          <w:color w:val="auto"/>
          <w:szCs w:val="22"/>
          <w:lang w:val="en-US"/>
        </w:rPr>
      </w:pPr>
    </w:p>
    <w:p w14:paraId="07A4A087" w14:textId="77777777" w:rsidR="00542601" w:rsidRPr="003B547B" w:rsidRDefault="00542601" w:rsidP="00542601">
      <w:pPr>
        <w:spacing w:line="276" w:lineRule="auto"/>
        <w:rPr>
          <w:rFonts w:asciiTheme="minorHAnsi" w:hAnsiTheme="minorHAnsi" w:cstheme="minorHAnsi"/>
          <w:color w:val="auto"/>
          <w:szCs w:val="22"/>
          <w:lang w:val="en-US"/>
        </w:rPr>
      </w:pPr>
      <w:r w:rsidRPr="003B547B">
        <w:rPr>
          <w:rFonts w:asciiTheme="minorHAnsi" w:hAnsiTheme="minorHAnsi" w:cstheme="minorHAnsi"/>
          <w:color w:val="auto"/>
          <w:szCs w:val="22"/>
          <w:lang w:val="en-US"/>
        </w:rPr>
        <w:t>• Fluency in spoken and written English and French.</w:t>
      </w:r>
    </w:p>
    <w:p w14:paraId="51AF1F74" w14:textId="77777777" w:rsidR="004F1EE6" w:rsidRPr="003B547B" w:rsidRDefault="008329D9">
      <w:pPr>
        <w:spacing w:after="0" w:line="259" w:lineRule="auto"/>
        <w:ind w:left="0" w:firstLine="0"/>
        <w:jc w:val="left"/>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 </w:t>
      </w:r>
    </w:p>
    <w:p w14:paraId="465678C3" w14:textId="77777777" w:rsidR="004F1EE6" w:rsidRPr="003B547B" w:rsidRDefault="008329D9">
      <w:pPr>
        <w:spacing w:after="4" w:line="259" w:lineRule="auto"/>
        <w:ind w:left="-5"/>
        <w:jc w:val="left"/>
        <w:rPr>
          <w:rFonts w:asciiTheme="minorHAnsi" w:hAnsiTheme="minorHAnsi" w:cstheme="minorHAnsi"/>
          <w:color w:val="auto"/>
          <w:szCs w:val="22"/>
          <w:lang w:val="en-US"/>
        </w:rPr>
      </w:pPr>
      <w:r w:rsidRPr="003B547B">
        <w:rPr>
          <w:rFonts w:asciiTheme="minorHAnsi" w:hAnsiTheme="minorHAnsi" w:cstheme="minorHAnsi"/>
          <w:b/>
          <w:color w:val="auto"/>
          <w:szCs w:val="22"/>
          <w:lang w:val="en-US"/>
        </w:rPr>
        <w:t xml:space="preserve">HOW TO APPLY </w:t>
      </w:r>
    </w:p>
    <w:p w14:paraId="7E639F96" w14:textId="77777777" w:rsidR="004F1EE6" w:rsidRPr="003B547B" w:rsidRDefault="008329D9">
      <w:pPr>
        <w:spacing w:after="0" w:line="259" w:lineRule="auto"/>
        <w:ind w:left="0" w:firstLine="0"/>
        <w:jc w:val="left"/>
        <w:rPr>
          <w:rFonts w:asciiTheme="minorHAnsi" w:hAnsiTheme="minorHAnsi" w:cstheme="minorHAnsi"/>
          <w:color w:val="auto"/>
          <w:szCs w:val="22"/>
          <w:lang w:val="en-US"/>
        </w:rPr>
      </w:pPr>
      <w:r w:rsidRPr="003B547B">
        <w:rPr>
          <w:rFonts w:asciiTheme="minorHAnsi" w:hAnsiTheme="minorHAnsi" w:cstheme="minorHAnsi"/>
          <w:b/>
          <w:color w:val="auto"/>
          <w:szCs w:val="22"/>
          <w:lang w:val="en-US"/>
        </w:rPr>
        <w:t xml:space="preserve"> </w:t>
      </w:r>
    </w:p>
    <w:p w14:paraId="4EEE3A06" w14:textId="77777777" w:rsidR="004F1EE6" w:rsidRPr="003B547B" w:rsidRDefault="008329D9">
      <w:pPr>
        <w:ind w:left="-5"/>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Interested? Please visit our website </w:t>
      </w:r>
      <w:hyperlink r:id="rId8">
        <w:r w:rsidRPr="003B547B">
          <w:rPr>
            <w:rFonts w:asciiTheme="minorHAnsi" w:hAnsiTheme="minorHAnsi" w:cstheme="minorHAnsi"/>
            <w:color w:val="auto"/>
            <w:szCs w:val="22"/>
            <w:u w:val="single" w:color="0563C1"/>
            <w:lang w:val="en-US"/>
          </w:rPr>
          <w:t>https://amref.org/vacancies/</w:t>
        </w:r>
      </w:hyperlink>
      <w:hyperlink r:id="rId9">
        <w:r w:rsidRPr="003B547B">
          <w:rPr>
            <w:rFonts w:asciiTheme="minorHAnsi" w:hAnsiTheme="minorHAnsi" w:cstheme="minorHAnsi"/>
            <w:color w:val="auto"/>
            <w:szCs w:val="22"/>
            <w:lang w:val="en-US"/>
          </w:rPr>
          <w:t xml:space="preserve"> </w:t>
        </w:r>
      </w:hyperlink>
      <w:r w:rsidRPr="003B547B">
        <w:rPr>
          <w:rFonts w:asciiTheme="minorHAnsi" w:hAnsiTheme="minorHAnsi" w:cstheme="minorHAnsi"/>
          <w:color w:val="auto"/>
          <w:szCs w:val="22"/>
          <w:lang w:val="en-US"/>
        </w:rPr>
        <w:t xml:space="preserve">to make your application. You will be directed to our online portal where you will need to create an account in order for you to be able to submit your application. Your application should include a cover letter detailing why you are the best fit for this position and your CV with relevant skills and experience. Closing date will be </w:t>
      </w:r>
      <w:r w:rsidR="003B547B" w:rsidRPr="003B547B">
        <w:rPr>
          <w:rFonts w:asciiTheme="minorHAnsi" w:hAnsiTheme="minorHAnsi" w:cstheme="minorHAnsi"/>
          <w:b/>
          <w:color w:val="auto"/>
          <w:szCs w:val="22"/>
          <w:lang w:val="en-US"/>
        </w:rPr>
        <w:t xml:space="preserve">November </w:t>
      </w:r>
      <w:r w:rsidRPr="003B547B">
        <w:rPr>
          <w:rFonts w:asciiTheme="minorHAnsi" w:hAnsiTheme="minorHAnsi" w:cstheme="minorHAnsi"/>
          <w:b/>
          <w:color w:val="auto"/>
          <w:szCs w:val="22"/>
          <w:lang w:val="en-US"/>
        </w:rPr>
        <w:t>3</w:t>
      </w:r>
      <w:r w:rsidR="003B547B" w:rsidRPr="003B547B">
        <w:rPr>
          <w:rFonts w:asciiTheme="minorHAnsi" w:hAnsiTheme="minorHAnsi" w:cstheme="minorHAnsi"/>
          <w:b/>
          <w:color w:val="auto"/>
          <w:szCs w:val="22"/>
          <w:lang w:val="en-US"/>
        </w:rPr>
        <w:t>0</w:t>
      </w:r>
      <w:r w:rsidR="003B547B" w:rsidRPr="003B547B">
        <w:rPr>
          <w:rFonts w:asciiTheme="minorHAnsi" w:hAnsiTheme="minorHAnsi" w:cstheme="minorHAnsi"/>
          <w:b/>
          <w:color w:val="auto"/>
          <w:szCs w:val="22"/>
          <w:vertAlign w:val="superscript"/>
          <w:lang w:val="en-US"/>
        </w:rPr>
        <w:t>th</w:t>
      </w:r>
      <w:r w:rsidRPr="003B547B">
        <w:rPr>
          <w:rFonts w:asciiTheme="minorHAnsi" w:hAnsiTheme="minorHAnsi" w:cstheme="minorHAnsi"/>
          <w:b/>
          <w:color w:val="auto"/>
          <w:szCs w:val="22"/>
          <w:lang w:val="en-US"/>
        </w:rPr>
        <w:t>, 202</w:t>
      </w:r>
      <w:r w:rsidR="003B547B" w:rsidRPr="003B547B">
        <w:rPr>
          <w:rFonts w:asciiTheme="minorHAnsi" w:hAnsiTheme="minorHAnsi" w:cstheme="minorHAnsi"/>
          <w:b/>
          <w:color w:val="auto"/>
          <w:szCs w:val="22"/>
          <w:lang w:val="en-US"/>
        </w:rPr>
        <w:t>4</w:t>
      </w:r>
      <w:r w:rsidRPr="003B547B">
        <w:rPr>
          <w:rFonts w:asciiTheme="minorHAnsi" w:hAnsiTheme="minorHAnsi" w:cstheme="minorHAnsi"/>
          <w:color w:val="auto"/>
          <w:szCs w:val="22"/>
          <w:lang w:val="en-US"/>
        </w:rPr>
        <w:t xml:space="preserve">. Only shortlisted candidates will be contacted. </w:t>
      </w:r>
    </w:p>
    <w:p w14:paraId="2434CDD3" w14:textId="77777777" w:rsidR="004F1EE6" w:rsidRPr="003B547B" w:rsidRDefault="008329D9">
      <w:pPr>
        <w:spacing w:after="0" w:line="259" w:lineRule="auto"/>
        <w:ind w:left="0" w:firstLine="0"/>
        <w:jc w:val="left"/>
        <w:rPr>
          <w:rFonts w:asciiTheme="minorHAnsi" w:hAnsiTheme="minorHAnsi" w:cstheme="minorHAnsi"/>
          <w:color w:val="auto"/>
          <w:szCs w:val="22"/>
          <w:lang w:val="en-US"/>
        </w:rPr>
      </w:pPr>
      <w:r w:rsidRPr="003B547B">
        <w:rPr>
          <w:rFonts w:asciiTheme="minorHAnsi" w:hAnsiTheme="minorHAnsi" w:cstheme="minorHAnsi"/>
          <w:color w:val="auto"/>
          <w:szCs w:val="22"/>
          <w:lang w:val="en-US"/>
        </w:rPr>
        <w:t xml:space="preserve"> </w:t>
      </w:r>
    </w:p>
    <w:p w14:paraId="18C8E2BC" w14:textId="77777777" w:rsidR="004F1EE6" w:rsidRPr="003B547B" w:rsidRDefault="008329D9">
      <w:pPr>
        <w:spacing w:after="0"/>
        <w:jc w:val="center"/>
        <w:rPr>
          <w:rFonts w:asciiTheme="minorHAnsi" w:hAnsiTheme="minorHAnsi" w:cstheme="minorHAnsi"/>
          <w:color w:val="auto"/>
          <w:szCs w:val="22"/>
          <w:lang w:val="en-US"/>
        </w:rPr>
      </w:pPr>
      <w:r w:rsidRPr="003B547B">
        <w:rPr>
          <w:rFonts w:asciiTheme="minorHAnsi" w:hAnsiTheme="minorHAnsi" w:cstheme="minorHAnsi"/>
          <w:i/>
          <w:color w:val="auto"/>
          <w:szCs w:val="22"/>
          <w:lang w:val="en-US"/>
        </w:rPr>
        <w:t xml:space="preserve">Duly note that </w:t>
      </w:r>
      <w:proofErr w:type="spellStart"/>
      <w:r w:rsidRPr="003B547B">
        <w:rPr>
          <w:rFonts w:asciiTheme="minorHAnsi" w:hAnsiTheme="minorHAnsi" w:cstheme="minorHAnsi"/>
          <w:i/>
          <w:color w:val="auto"/>
          <w:szCs w:val="22"/>
          <w:lang w:val="en-US"/>
        </w:rPr>
        <w:t>Amref</w:t>
      </w:r>
      <w:proofErr w:type="spellEnd"/>
      <w:r w:rsidRPr="003B547B">
        <w:rPr>
          <w:rFonts w:asciiTheme="minorHAnsi" w:hAnsiTheme="minorHAnsi" w:cstheme="minorHAnsi"/>
          <w:i/>
          <w:color w:val="auto"/>
          <w:szCs w:val="22"/>
          <w:lang w:val="en-US"/>
        </w:rPr>
        <w:t xml:space="preserve"> Health Africa does not require applicants to pay any money at whatever stage of the recruitment and selection process and have not retained any agent in connection with recruitment. Although </w:t>
      </w:r>
    </w:p>
    <w:p w14:paraId="6DAEF9EC" w14:textId="77777777" w:rsidR="004F1EE6" w:rsidRPr="003B547B" w:rsidRDefault="008329D9">
      <w:pPr>
        <w:spacing w:after="0"/>
        <w:jc w:val="center"/>
        <w:rPr>
          <w:rFonts w:asciiTheme="minorHAnsi" w:hAnsiTheme="minorHAnsi" w:cstheme="minorHAnsi"/>
          <w:color w:val="auto"/>
          <w:szCs w:val="22"/>
          <w:lang w:val="en-US"/>
        </w:rPr>
      </w:pPr>
      <w:proofErr w:type="spellStart"/>
      <w:r w:rsidRPr="003B547B">
        <w:rPr>
          <w:rFonts w:asciiTheme="minorHAnsi" w:hAnsiTheme="minorHAnsi" w:cstheme="minorHAnsi"/>
          <w:i/>
          <w:color w:val="auto"/>
          <w:szCs w:val="22"/>
          <w:lang w:val="en-US"/>
        </w:rPr>
        <w:t>Amref</w:t>
      </w:r>
      <w:proofErr w:type="spellEnd"/>
      <w:r w:rsidRPr="003B547B">
        <w:rPr>
          <w:rFonts w:asciiTheme="minorHAnsi" w:hAnsiTheme="minorHAnsi" w:cstheme="minorHAnsi"/>
          <w:i/>
          <w:color w:val="auto"/>
          <w:szCs w:val="22"/>
          <w:lang w:val="en-US"/>
        </w:rPr>
        <w:t xml:space="preserve"> may use different job boards from time to time to further spread its reach for applicants, all open vacancies are published on our website under the Vacancies page and on our official social media pages. </w:t>
      </w:r>
    </w:p>
    <w:p w14:paraId="6CB6B257" w14:textId="77777777" w:rsidR="004F1EE6" w:rsidRPr="003B547B" w:rsidRDefault="008329D9">
      <w:pPr>
        <w:spacing w:after="0"/>
        <w:ind w:right="1"/>
        <w:jc w:val="center"/>
        <w:rPr>
          <w:rFonts w:asciiTheme="minorHAnsi" w:hAnsiTheme="minorHAnsi" w:cstheme="minorHAnsi"/>
          <w:color w:val="auto"/>
          <w:szCs w:val="22"/>
          <w:lang w:val="en-US"/>
        </w:rPr>
      </w:pPr>
      <w:r w:rsidRPr="003B547B">
        <w:rPr>
          <w:rFonts w:asciiTheme="minorHAnsi" w:hAnsiTheme="minorHAnsi" w:cstheme="minorHAnsi"/>
          <w:i/>
          <w:color w:val="auto"/>
          <w:szCs w:val="22"/>
          <w:lang w:val="en-US"/>
        </w:rPr>
        <w:t xml:space="preserve">Kindly also note that official emails from </w:t>
      </w:r>
      <w:proofErr w:type="spellStart"/>
      <w:r w:rsidRPr="003B547B">
        <w:rPr>
          <w:rFonts w:asciiTheme="minorHAnsi" w:hAnsiTheme="minorHAnsi" w:cstheme="minorHAnsi"/>
          <w:i/>
          <w:color w:val="auto"/>
          <w:szCs w:val="22"/>
          <w:lang w:val="en-US"/>
        </w:rPr>
        <w:t>Amref</w:t>
      </w:r>
      <w:proofErr w:type="spellEnd"/>
      <w:r w:rsidRPr="003B547B">
        <w:rPr>
          <w:rFonts w:asciiTheme="minorHAnsi" w:hAnsiTheme="minorHAnsi" w:cstheme="minorHAnsi"/>
          <w:i/>
          <w:color w:val="auto"/>
          <w:szCs w:val="22"/>
          <w:lang w:val="en-US"/>
        </w:rPr>
        <w:t xml:space="preserve"> Health Africa will arrive from an </w:t>
      </w:r>
      <w:r w:rsidRPr="003B547B">
        <w:rPr>
          <w:rFonts w:asciiTheme="minorHAnsi" w:hAnsiTheme="minorHAnsi" w:cstheme="minorHAnsi"/>
          <w:i/>
          <w:color w:val="auto"/>
          <w:szCs w:val="22"/>
          <w:u w:val="single" w:color="000000"/>
          <w:lang w:val="en-US"/>
        </w:rPr>
        <w:t>@amref.org</w:t>
      </w:r>
      <w:r w:rsidRPr="003B547B">
        <w:rPr>
          <w:rFonts w:asciiTheme="minorHAnsi" w:hAnsiTheme="minorHAnsi" w:cstheme="minorHAnsi"/>
          <w:i/>
          <w:color w:val="auto"/>
          <w:szCs w:val="22"/>
          <w:lang w:val="en-US"/>
        </w:rPr>
        <w:t xml:space="preserve"> address. </w:t>
      </w:r>
    </w:p>
    <w:p w14:paraId="37E4AB1E" w14:textId="77777777" w:rsidR="004F1EE6" w:rsidRPr="003B547B" w:rsidRDefault="008329D9">
      <w:pPr>
        <w:spacing w:after="0" w:line="259" w:lineRule="auto"/>
        <w:ind w:left="54" w:firstLine="0"/>
        <w:jc w:val="center"/>
        <w:rPr>
          <w:rFonts w:asciiTheme="minorHAnsi" w:hAnsiTheme="minorHAnsi" w:cstheme="minorHAnsi"/>
          <w:color w:val="auto"/>
          <w:szCs w:val="22"/>
          <w:lang w:val="en-US"/>
        </w:rPr>
      </w:pPr>
      <w:r w:rsidRPr="003B547B">
        <w:rPr>
          <w:rFonts w:asciiTheme="minorHAnsi" w:hAnsiTheme="minorHAnsi" w:cstheme="minorHAnsi"/>
          <w:i/>
          <w:color w:val="auto"/>
          <w:szCs w:val="22"/>
          <w:lang w:val="en-US"/>
        </w:rPr>
        <w:t xml:space="preserve"> </w:t>
      </w:r>
    </w:p>
    <w:p w14:paraId="5A856CF2" w14:textId="77777777" w:rsidR="004F1EE6" w:rsidRPr="003B547B" w:rsidRDefault="008329D9">
      <w:pPr>
        <w:spacing w:after="0"/>
        <w:jc w:val="center"/>
        <w:rPr>
          <w:rFonts w:asciiTheme="minorHAnsi" w:hAnsiTheme="minorHAnsi" w:cstheme="minorHAnsi"/>
          <w:color w:val="auto"/>
          <w:szCs w:val="22"/>
          <w:lang w:val="en-US"/>
        </w:rPr>
      </w:pPr>
      <w:proofErr w:type="spellStart"/>
      <w:r w:rsidRPr="003B547B">
        <w:rPr>
          <w:rFonts w:asciiTheme="minorHAnsi" w:hAnsiTheme="minorHAnsi" w:cstheme="minorHAnsi"/>
          <w:i/>
          <w:color w:val="auto"/>
          <w:szCs w:val="22"/>
          <w:lang w:val="en-US"/>
        </w:rPr>
        <w:t>Amref</w:t>
      </w:r>
      <w:proofErr w:type="spellEnd"/>
      <w:r w:rsidRPr="003B547B">
        <w:rPr>
          <w:rFonts w:asciiTheme="minorHAnsi" w:hAnsiTheme="minorHAnsi" w:cstheme="minorHAnsi"/>
          <w:i/>
          <w:color w:val="auto"/>
          <w:szCs w:val="22"/>
          <w:lang w:val="en-US"/>
        </w:rPr>
        <w:t xml:space="preserve"> Health Africa is committed to safeguarding and promoting the welfare of children, young people and vulnerable adults and expects all staff to share this commitment. </w:t>
      </w:r>
      <w:proofErr w:type="spellStart"/>
      <w:r w:rsidRPr="003B547B">
        <w:rPr>
          <w:rFonts w:asciiTheme="minorHAnsi" w:hAnsiTheme="minorHAnsi" w:cstheme="minorHAnsi"/>
          <w:i/>
          <w:color w:val="auto"/>
          <w:szCs w:val="22"/>
          <w:lang w:val="en-US"/>
        </w:rPr>
        <w:t>Amref</w:t>
      </w:r>
      <w:proofErr w:type="spellEnd"/>
      <w:r w:rsidRPr="003B547B">
        <w:rPr>
          <w:rFonts w:asciiTheme="minorHAnsi" w:hAnsiTheme="minorHAnsi" w:cstheme="minorHAnsi"/>
          <w:i/>
          <w:color w:val="auto"/>
          <w:szCs w:val="22"/>
          <w:lang w:val="en-US"/>
        </w:rPr>
        <w:t xml:space="preserve"> Health Africa is an equal opportunity employer and has a non-smoking environment policy. </w:t>
      </w:r>
    </w:p>
    <w:p w14:paraId="4BB171F4" w14:textId="77777777" w:rsidR="004F1EE6" w:rsidRPr="003B547B" w:rsidRDefault="008329D9">
      <w:pPr>
        <w:spacing w:after="0" w:line="259" w:lineRule="auto"/>
        <w:ind w:left="0" w:firstLine="0"/>
        <w:jc w:val="left"/>
        <w:rPr>
          <w:rFonts w:asciiTheme="minorHAnsi" w:hAnsiTheme="minorHAnsi" w:cstheme="minorHAnsi"/>
          <w:color w:val="auto"/>
          <w:szCs w:val="22"/>
          <w:lang w:val="en-US"/>
        </w:rPr>
      </w:pPr>
      <w:r w:rsidRPr="003B547B">
        <w:rPr>
          <w:rFonts w:asciiTheme="minorHAnsi" w:hAnsiTheme="minorHAnsi" w:cstheme="minorHAnsi"/>
          <w:color w:val="auto"/>
          <w:szCs w:val="22"/>
          <w:lang w:val="en-US"/>
        </w:rPr>
        <w:lastRenderedPageBreak/>
        <w:t xml:space="preserve"> </w:t>
      </w:r>
    </w:p>
    <w:sectPr w:rsidR="004F1EE6" w:rsidRPr="003B547B">
      <w:footerReference w:type="even" r:id="rId10"/>
      <w:footerReference w:type="default" r:id="rId11"/>
      <w:footerReference w:type="first" r:id="rId12"/>
      <w:pgSz w:w="11906" w:h="16838"/>
      <w:pgMar w:top="900" w:right="1101" w:bottom="1798" w:left="991" w:header="72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DA7F" w14:textId="77777777" w:rsidR="0070255B" w:rsidRDefault="0070255B">
      <w:pPr>
        <w:spacing w:after="0" w:line="240" w:lineRule="auto"/>
      </w:pPr>
      <w:r>
        <w:separator/>
      </w:r>
    </w:p>
  </w:endnote>
  <w:endnote w:type="continuationSeparator" w:id="0">
    <w:p w14:paraId="6E971DF9" w14:textId="77777777" w:rsidR="0070255B" w:rsidRDefault="0070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ED825" w14:textId="77777777" w:rsidR="004F1EE6" w:rsidRDefault="008329D9">
    <w:pPr>
      <w:spacing w:after="0" w:line="251" w:lineRule="auto"/>
      <w:ind w:left="0" w:right="4450" w:firstLine="4501"/>
      <w:jc w:val="left"/>
    </w:pPr>
    <w:r>
      <w:rPr>
        <w:rFonts w:ascii="Calibri" w:eastAsia="Calibri" w:hAnsi="Calibri" w:cs="Calibri"/>
        <w:sz w:val="18"/>
      </w:rPr>
      <w:t xml:space="preserve">Page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of </w:t>
    </w:r>
    <w:fldSimple w:instr=" NUMPAGES   \* MERGEFORMAT ">
      <w:r>
        <w:rPr>
          <w:rFonts w:ascii="Calibri" w:eastAsia="Calibri" w:hAnsi="Calibri" w:cs="Calibri"/>
          <w:b/>
          <w:sz w:val="18"/>
        </w:rPr>
        <w:t>3</w:t>
      </w:r>
    </w:fldSimple>
    <w:r>
      <w:rPr>
        <w:rFonts w:ascii="Calibri" w:eastAsia="Calibri" w:hAnsi="Calibri" w:cs="Calibri"/>
        <w:sz w:val="24"/>
      </w:rPr>
      <w:t xml:space="preserve">  </w:t>
    </w:r>
    <w:r>
      <w:rPr>
        <w:rFonts w:ascii="Calibri" w:eastAsia="Calibri" w:hAnsi="Calibri" w:cs="Calibri"/>
        <w:sz w:val="24"/>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BA3D" w14:textId="77777777" w:rsidR="004F1EE6" w:rsidRDefault="008329D9">
    <w:pPr>
      <w:spacing w:after="0" w:line="251" w:lineRule="auto"/>
      <w:ind w:left="0" w:right="4450" w:firstLine="4501"/>
      <w:jc w:val="left"/>
    </w:pPr>
    <w:r>
      <w:rPr>
        <w:rFonts w:ascii="Calibri" w:eastAsia="Calibri" w:hAnsi="Calibri" w:cs="Calibri"/>
        <w:sz w:val="18"/>
      </w:rPr>
      <w:t xml:space="preserve">Page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of </w:t>
    </w:r>
    <w:fldSimple w:instr=" NUMPAGES   \* MERGEFORMAT ">
      <w:r>
        <w:rPr>
          <w:rFonts w:ascii="Calibri" w:eastAsia="Calibri" w:hAnsi="Calibri" w:cs="Calibri"/>
          <w:b/>
          <w:sz w:val="18"/>
        </w:rPr>
        <w:t>3</w:t>
      </w:r>
    </w:fldSimple>
    <w:r>
      <w:rPr>
        <w:rFonts w:ascii="Calibri" w:eastAsia="Calibri" w:hAnsi="Calibri" w:cs="Calibri"/>
        <w:sz w:val="24"/>
      </w:rPr>
      <w:t xml:space="preserve">  </w:t>
    </w:r>
    <w:r>
      <w:rPr>
        <w:rFonts w:ascii="Calibri" w:eastAsia="Calibri" w:hAnsi="Calibri" w:cs="Calibri"/>
        <w:sz w:val="24"/>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D4A22" w14:textId="77777777" w:rsidR="004F1EE6" w:rsidRDefault="008329D9">
    <w:pPr>
      <w:spacing w:after="0" w:line="251" w:lineRule="auto"/>
      <w:ind w:left="0" w:right="4450" w:firstLine="4501"/>
      <w:jc w:val="left"/>
    </w:pPr>
    <w:r>
      <w:rPr>
        <w:rFonts w:ascii="Calibri" w:eastAsia="Calibri" w:hAnsi="Calibri" w:cs="Calibri"/>
        <w:sz w:val="18"/>
      </w:rPr>
      <w:t xml:space="preserve">Page </w:t>
    </w:r>
    <w:r>
      <w:fldChar w:fldCharType="begin"/>
    </w:r>
    <w:r>
      <w:instrText xml:space="preserve"> PAGE   \* MERGEFORMAT </w:instrText>
    </w:r>
    <w: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of </w:t>
    </w:r>
    <w:fldSimple w:instr=" NUMPAGES   \* MERGEFORMAT ">
      <w:r>
        <w:rPr>
          <w:rFonts w:ascii="Calibri" w:eastAsia="Calibri" w:hAnsi="Calibri" w:cs="Calibri"/>
          <w:b/>
          <w:sz w:val="18"/>
        </w:rPr>
        <w:t>3</w:t>
      </w:r>
    </w:fldSimple>
    <w:r>
      <w:rPr>
        <w:rFonts w:ascii="Calibri" w:eastAsia="Calibri" w:hAnsi="Calibri" w:cs="Calibri"/>
        <w:sz w:val="24"/>
      </w:rPr>
      <w:t xml:space="preserve">  </w:t>
    </w:r>
    <w:r>
      <w:rPr>
        <w:rFonts w:ascii="Calibri" w:eastAsia="Calibri" w:hAnsi="Calibri" w:cs="Calibri"/>
        <w:sz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37D8B" w14:textId="77777777" w:rsidR="0070255B" w:rsidRDefault="0070255B">
      <w:pPr>
        <w:spacing w:after="0" w:line="240" w:lineRule="auto"/>
      </w:pPr>
      <w:r>
        <w:separator/>
      </w:r>
    </w:p>
  </w:footnote>
  <w:footnote w:type="continuationSeparator" w:id="0">
    <w:p w14:paraId="7A2BEAAA" w14:textId="77777777" w:rsidR="0070255B" w:rsidRDefault="007025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B04A5"/>
    <w:multiLevelType w:val="hybridMultilevel"/>
    <w:tmpl w:val="4B0EEC0E"/>
    <w:lvl w:ilvl="0" w:tplc="280C000F">
      <w:start w:val="1"/>
      <w:numFmt w:val="decimal"/>
      <w:lvlText w:val="%1."/>
      <w:lvlJc w:val="left"/>
      <w:pPr>
        <w:ind w:left="360" w:hanging="360"/>
      </w:pPr>
      <w:rPr>
        <w:rFonts w:hint="default"/>
      </w:rPr>
    </w:lvl>
    <w:lvl w:ilvl="1" w:tplc="280C0019" w:tentative="1">
      <w:start w:val="1"/>
      <w:numFmt w:val="lowerLetter"/>
      <w:lvlText w:val="%2."/>
      <w:lvlJc w:val="left"/>
      <w:pPr>
        <w:ind w:left="1080" w:hanging="360"/>
      </w:pPr>
    </w:lvl>
    <w:lvl w:ilvl="2" w:tplc="280C001B" w:tentative="1">
      <w:start w:val="1"/>
      <w:numFmt w:val="lowerRoman"/>
      <w:lvlText w:val="%3."/>
      <w:lvlJc w:val="right"/>
      <w:pPr>
        <w:ind w:left="1800" w:hanging="180"/>
      </w:pPr>
    </w:lvl>
    <w:lvl w:ilvl="3" w:tplc="280C000F" w:tentative="1">
      <w:start w:val="1"/>
      <w:numFmt w:val="decimal"/>
      <w:lvlText w:val="%4."/>
      <w:lvlJc w:val="left"/>
      <w:pPr>
        <w:ind w:left="2520" w:hanging="360"/>
      </w:pPr>
    </w:lvl>
    <w:lvl w:ilvl="4" w:tplc="280C0019" w:tentative="1">
      <w:start w:val="1"/>
      <w:numFmt w:val="lowerLetter"/>
      <w:lvlText w:val="%5."/>
      <w:lvlJc w:val="left"/>
      <w:pPr>
        <w:ind w:left="3240" w:hanging="360"/>
      </w:pPr>
    </w:lvl>
    <w:lvl w:ilvl="5" w:tplc="280C001B" w:tentative="1">
      <w:start w:val="1"/>
      <w:numFmt w:val="lowerRoman"/>
      <w:lvlText w:val="%6."/>
      <w:lvlJc w:val="right"/>
      <w:pPr>
        <w:ind w:left="3960" w:hanging="180"/>
      </w:pPr>
    </w:lvl>
    <w:lvl w:ilvl="6" w:tplc="280C000F" w:tentative="1">
      <w:start w:val="1"/>
      <w:numFmt w:val="decimal"/>
      <w:lvlText w:val="%7."/>
      <w:lvlJc w:val="left"/>
      <w:pPr>
        <w:ind w:left="4680" w:hanging="360"/>
      </w:pPr>
    </w:lvl>
    <w:lvl w:ilvl="7" w:tplc="280C0019" w:tentative="1">
      <w:start w:val="1"/>
      <w:numFmt w:val="lowerLetter"/>
      <w:lvlText w:val="%8."/>
      <w:lvlJc w:val="left"/>
      <w:pPr>
        <w:ind w:left="5400" w:hanging="360"/>
      </w:pPr>
    </w:lvl>
    <w:lvl w:ilvl="8" w:tplc="280C001B" w:tentative="1">
      <w:start w:val="1"/>
      <w:numFmt w:val="lowerRoman"/>
      <w:lvlText w:val="%9."/>
      <w:lvlJc w:val="right"/>
      <w:pPr>
        <w:ind w:left="6120" w:hanging="180"/>
      </w:pPr>
    </w:lvl>
  </w:abstractNum>
  <w:abstractNum w:abstractNumId="1" w15:restartNumberingAfterBreak="0">
    <w:nsid w:val="34C819D2"/>
    <w:multiLevelType w:val="hybridMultilevel"/>
    <w:tmpl w:val="97E01704"/>
    <w:lvl w:ilvl="0" w:tplc="63C627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A654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AEDC6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3C6D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CA0D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A2A3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4CBC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CA6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A86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FD4E25"/>
    <w:multiLevelType w:val="hybridMultilevel"/>
    <w:tmpl w:val="5C2A204A"/>
    <w:lvl w:ilvl="0" w:tplc="3FF4085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868A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74F81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88475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24CC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E243E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32AFF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4A72D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42C62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F890686"/>
    <w:multiLevelType w:val="hybridMultilevel"/>
    <w:tmpl w:val="C7A817EA"/>
    <w:lvl w:ilvl="0" w:tplc="BB624CF8">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DC428B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2F09FC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740879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1F4ECE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8F24D7E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C085D5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57A6A9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E1C8E3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445221"/>
    <w:multiLevelType w:val="hybridMultilevel"/>
    <w:tmpl w:val="090A310C"/>
    <w:lvl w:ilvl="0" w:tplc="12C8FA44">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BEBA9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7829A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772690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0EEA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B8E11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06481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F3A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8B29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F120B4"/>
    <w:multiLevelType w:val="hybridMultilevel"/>
    <w:tmpl w:val="7CB4801A"/>
    <w:lvl w:ilvl="0" w:tplc="F9141910">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9C112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2637F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5C854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72538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72DFE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8C990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A6241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9C17F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D53486"/>
    <w:multiLevelType w:val="hybridMultilevel"/>
    <w:tmpl w:val="8C2E5A50"/>
    <w:lvl w:ilvl="0" w:tplc="25D492FE">
      <w:start w:val="1"/>
      <w:numFmt w:val="bullet"/>
      <w:lvlText w:val="•"/>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B2D6A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28C850">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52927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9A390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9C1E0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E2D5E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A89C9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C4F8F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6F7202"/>
    <w:multiLevelType w:val="hybridMultilevel"/>
    <w:tmpl w:val="224C2756"/>
    <w:lvl w:ilvl="0" w:tplc="9B023480">
      <w:start w:val="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2F4844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FD4ECC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8D21D8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CC6FB9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99E2C4C">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A8CC14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FCCCFB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5421F4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5"/>
  </w:num>
  <w:num w:numId="4">
    <w:abstractNumId w:val="2"/>
  </w:num>
  <w:num w:numId="5">
    <w:abstractNumId w:val="4"/>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E6"/>
    <w:rsid w:val="003B547B"/>
    <w:rsid w:val="004F1EE6"/>
    <w:rsid w:val="00511FD0"/>
    <w:rsid w:val="00541CF1"/>
    <w:rsid w:val="00542601"/>
    <w:rsid w:val="005D6539"/>
    <w:rsid w:val="00677BB2"/>
    <w:rsid w:val="0070255B"/>
    <w:rsid w:val="008329D9"/>
    <w:rsid w:val="008608B8"/>
    <w:rsid w:val="00B9556A"/>
    <w:rsid w:val="00BF49FB"/>
    <w:rsid w:val="00EC0645"/>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D5FA"/>
  <w15:docId w15:val="{CB047F6C-3184-E64C-87C1-2E545B68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SN" w:eastAsia="fr-FR"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8" w:lineRule="auto"/>
      <w:ind w:left="10" w:hanging="10"/>
      <w:jc w:val="both"/>
    </w:pPr>
    <w:rPr>
      <w:rFonts w:ascii="Times New Roman" w:eastAsia="Times New Roman" w:hAnsi="Times New Roman" w:cs="Times New Roman"/>
      <w:color w:val="000000"/>
      <w:sz w:val="22"/>
      <w:lang w:val="fr-CA" w:eastAsia="fr-CA" w:bidi="fr-CA"/>
    </w:rPr>
  </w:style>
  <w:style w:type="paragraph" w:styleId="Heading1">
    <w:name w:val="heading 1"/>
    <w:next w:val="Normal"/>
    <w:link w:val="Heading1Char"/>
    <w:uiPriority w:val="9"/>
    <w:qFormat/>
    <w:pPr>
      <w:keepNext/>
      <w:keepLines/>
      <w:numPr>
        <w:numId w:val="7"/>
      </w:numPr>
      <w:spacing w:after="91" w:line="259" w:lineRule="auto"/>
      <w:ind w:left="10" w:hanging="10"/>
      <w:outlineLvl w:val="0"/>
    </w:pPr>
    <w:rPr>
      <w:rFonts w:ascii="Times New Roman" w:eastAsia="Times New Roman" w:hAnsi="Times New Roman" w:cs="Times New Roman"/>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tblPr>
      <w:tblCellMar>
        <w:top w:w="0" w:type="dxa"/>
        <w:left w:w="0" w:type="dxa"/>
        <w:bottom w:w="0" w:type="dxa"/>
        <w:right w:w="0" w:type="dxa"/>
      </w:tblCellMar>
    </w:tblPr>
  </w:style>
  <w:style w:type="paragraph" w:styleId="ListParagraph">
    <w:name w:val="List Paragraph"/>
    <w:aliases w:val="Citation List,Resume Title,heading 4,Riana Table Bullets 1,Lettre d'introduction,1st level - Bullet List Paragraph,Paragrafo elenco,List Paragraph1,Colorful List - Accent 11,List Paragraph_Table bullets,List Item,Bullet list,C-Change"/>
    <w:basedOn w:val="Normal"/>
    <w:link w:val="ListParagraphChar"/>
    <w:uiPriority w:val="34"/>
    <w:qFormat/>
    <w:rsid w:val="00542601"/>
    <w:pPr>
      <w:spacing w:after="160" w:line="259" w:lineRule="auto"/>
      <w:ind w:left="720" w:firstLine="0"/>
      <w:contextualSpacing/>
      <w:jc w:val="left"/>
    </w:pPr>
    <w:rPr>
      <w:rFonts w:asciiTheme="minorHAnsi" w:eastAsiaTheme="minorHAnsi" w:hAnsiTheme="minorHAnsi" w:cstheme="minorBidi"/>
      <w:color w:val="auto"/>
      <w:kern w:val="0"/>
      <w:szCs w:val="22"/>
      <w:lang w:val="en-US" w:eastAsia="en-US" w:bidi="ar-SA"/>
      <w14:ligatures w14:val="none"/>
    </w:rPr>
  </w:style>
  <w:style w:type="character" w:customStyle="1" w:styleId="ListParagraphChar">
    <w:name w:val="List Paragraph Char"/>
    <w:aliases w:val="Citation List Char,Resume Title Char,heading 4 Char,Riana Table Bullets 1 Char,Lettre d'introduction Char,1st level - Bullet List Paragraph Char,Paragrafo elenco Char,List Paragraph1 Char,Colorful List - Accent 11 Char,List Item Char"/>
    <w:link w:val="ListParagraph"/>
    <w:uiPriority w:val="34"/>
    <w:rsid w:val="00542601"/>
    <w:rPr>
      <w:rFonts w:eastAsiaTheme="minorHAnsi"/>
      <w:kern w:val="0"/>
      <w:sz w:val="22"/>
      <w:szCs w:val="22"/>
      <w:lang w:val="en-US" w:eastAsia="en-US"/>
      <w14:ligatures w14:val="none"/>
    </w:rPr>
  </w:style>
  <w:style w:type="paragraph" w:styleId="NoSpacing">
    <w:name w:val="No Spacing"/>
    <w:link w:val="NoSpacingChar"/>
    <w:uiPriority w:val="1"/>
    <w:qFormat/>
    <w:rsid w:val="00542601"/>
    <w:rPr>
      <w:rFonts w:eastAsiaTheme="minorHAnsi"/>
      <w:kern w:val="0"/>
      <w:sz w:val="22"/>
      <w:szCs w:val="22"/>
      <w:lang w:val="en-CA" w:eastAsia="en-US"/>
      <w14:ligatures w14:val="none"/>
    </w:rPr>
  </w:style>
  <w:style w:type="character" w:customStyle="1" w:styleId="NoSpacingChar">
    <w:name w:val="No Spacing Char"/>
    <w:basedOn w:val="DefaultParagraphFont"/>
    <w:link w:val="NoSpacing"/>
    <w:uiPriority w:val="1"/>
    <w:rsid w:val="00542601"/>
    <w:rPr>
      <w:rFonts w:eastAsiaTheme="minorHAnsi"/>
      <w:kern w:val="0"/>
      <w:sz w:val="22"/>
      <w:szCs w:val="22"/>
      <w:lang w:val="en-CA"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558095">
      <w:bodyDiv w:val="1"/>
      <w:marLeft w:val="0"/>
      <w:marRight w:val="0"/>
      <w:marTop w:val="0"/>
      <w:marBottom w:val="0"/>
      <w:divBdr>
        <w:top w:val="none" w:sz="0" w:space="0" w:color="auto"/>
        <w:left w:val="none" w:sz="0" w:space="0" w:color="auto"/>
        <w:bottom w:val="none" w:sz="0" w:space="0" w:color="auto"/>
        <w:right w:val="none" w:sz="0" w:space="0" w:color="auto"/>
      </w:divBdr>
    </w:div>
    <w:div w:id="2122989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mref.org/vacanc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mref.org/vacancie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1384</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Kader Fall</cp:lastModifiedBy>
  <cp:revision>6</cp:revision>
  <cp:lastPrinted>2024-11-11T12:49:00Z</cp:lastPrinted>
  <dcterms:created xsi:type="dcterms:W3CDTF">2024-11-11T12:49:00Z</dcterms:created>
  <dcterms:modified xsi:type="dcterms:W3CDTF">2024-11-14T11:22:00Z</dcterms:modified>
</cp:coreProperties>
</file>